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66" w:rsidRDefault="00D82466" w:rsidP="00D82466">
      <w:pPr>
        <w:jc w:val="center"/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  <w:r>
        <w:t xml:space="preserve">Deliberação CNPCT n° </w:t>
      </w:r>
      <w:r w:rsidR="00680F2D">
        <w:t>009</w:t>
      </w:r>
      <w:r>
        <w:t xml:space="preserve">, de </w:t>
      </w:r>
      <w:r w:rsidR="00680F2D">
        <w:t>03 de julho de 2015</w:t>
      </w:r>
      <w:proofErr w:type="gramStart"/>
      <w:r>
        <w:rPr>
          <w:rStyle w:val="Caracteresdenotaderodap"/>
        </w:rPr>
        <w:footnoteReference w:id="1"/>
      </w:r>
      <w:proofErr w:type="gramEnd"/>
    </w:p>
    <w:p w:rsidR="00D82466" w:rsidRDefault="00D82466" w:rsidP="00D82466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</w:t>
      </w:r>
    </w:p>
    <w:p w:rsidR="00D82466" w:rsidRDefault="00D82466" w:rsidP="00D82466">
      <w:pPr>
        <w:ind w:left="4593"/>
        <w:jc w:val="both"/>
        <w:rPr>
          <w:i/>
          <w:iCs/>
        </w:rPr>
      </w:pPr>
      <w:r>
        <w:rPr>
          <w:i/>
          <w:iCs/>
        </w:rPr>
        <w:t xml:space="preserve">Institui o Grupo de Trabalho para acompanhamento da </w:t>
      </w:r>
      <w:r w:rsidR="00680F2D">
        <w:rPr>
          <w:i/>
          <w:iCs/>
        </w:rPr>
        <w:t>regulamentação da Lei nº 13.123/2015</w:t>
      </w:r>
    </w:p>
    <w:p w:rsidR="00D82466" w:rsidRDefault="00D82466" w:rsidP="00D82466">
      <w:pPr>
        <w:autoSpaceDE w:val="0"/>
        <w:jc w:val="both"/>
      </w:pPr>
    </w:p>
    <w:p w:rsidR="00D82466" w:rsidRDefault="00D82466" w:rsidP="00D82466">
      <w:pPr>
        <w:autoSpaceDE w:val="0"/>
        <w:jc w:val="both"/>
      </w:pPr>
      <w:r>
        <w:t>A Comissão Nacional de Desenvolvimento Sustentável dos Povos e Comunidades Tradicionais – CNPCT, no uso de suas atribuições legais conferidas pelo Decreto de 13 de julho de 2006, e tendo em vista o disposto pelo Capítulo I, artigo 1°, Inciso V e no Capítulo III, artigo 10°, Inciso II do seu Regimento Interno (</w:t>
      </w:r>
      <w:r>
        <w:rPr>
          <w:rFonts w:eastAsia="Times New Roman"/>
          <w:bCs/>
          <w:color w:val="282526"/>
        </w:rPr>
        <w:t xml:space="preserve">Portaria Nº 86, de 12 de março de 2008, do Ministro de Estado do Desenvolvimento Social e Combate à Fome), </w:t>
      </w:r>
      <w:r>
        <w:t>e a proposta aprovada em sua 24ª Reunião Ordinária, retifica a Deliberação nº 001/CNPCT, de 25 de fevereiro de 2015</w:t>
      </w:r>
      <w:r w:rsidR="00E653C2">
        <w:t>, publicada no D.O.U.</w:t>
      </w:r>
      <w:r w:rsidR="00482EE7">
        <w:t>,</w:t>
      </w:r>
      <w:r w:rsidR="00E653C2">
        <w:t xml:space="preserve"> 11 de março de 2015, que passa a vigorar com a seguinte redação</w:t>
      </w:r>
      <w:r>
        <w:t>:</w:t>
      </w:r>
    </w:p>
    <w:p w:rsidR="00D82466" w:rsidRDefault="00D82466" w:rsidP="00D82466">
      <w:pPr>
        <w:ind w:left="15"/>
        <w:jc w:val="both"/>
      </w:pPr>
    </w:p>
    <w:p w:rsidR="00D82466" w:rsidRDefault="00D82466" w:rsidP="00D82466">
      <w:pPr>
        <w:ind w:left="15"/>
        <w:jc w:val="both"/>
      </w:pPr>
      <w:r>
        <w:t xml:space="preserve">Art. 1º- Criar Grupo de Trabalho </w:t>
      </w:r>
      <w:r w:rsidRPr="006100A4">
        <w:rPr>
          <w:iCs/>
        </w:rPr>
        <w:t xml:space="preserve">para </w:t>
      </w:r>
      <w:r>
        <w:rPr>
          <w:iCs/>
        </w:rPr>
        <w:t>acompanhamento da regulamentação da Lei nº 13.123/2015</w:t>
      </w:r>
      <w:r w:rsidRPr="006100A4">
        <w:t>, sendo este composto</w:t>
      </w:r>
      <w:r>
        <w:t xml:space="preserve"> por 14 (catorze) representantes titulares, abaixo descritos.</w:t>
      </w:r>
    </w:p>
    <w:p w:rsidR="00D82466" w:rsidRDefault="00D82466" w:rsidP="00D82466">
      <w:pPr>
        <w:ind w:left="15"/>
        <w:jc w:val="both"/>
      </w:pPr>
    </w:p>
    <w:p w:rsidR="00D82466" w:rsidRDefault="00D82466" w:rsidP="00D82466">
      <w:pPr>
        <w:ind w:left="15"/>
        <w:jc w:val="both"/>
      </w:pPr>
      <w:r>
        <w:rPr>
          <w:rFonts w:cs="Times New Roman"/>
        </w:rPr>
        <w:t>§</w:t>
      </w:r>
      <w:r>
        <w:t>1º - Sete representantes Governamentais:</w:t>
      </w:r>
    </w:p>
    <w:p w:rsidR="00D82466" w:rsidRDefault="00D82466" w:rsidP="00D82466">
      <w:pPr>
        <w:ind w:left="15"/>
        <w:jc w:val="both"/>
      </w:pPr>
    </w:p>
    <w:p w:rsidR="00D82466" w:rsidRDefault="00D82466" w:rsidP="00D82466">
      <w:pPr>
        <w:ind w:left="15"/>
        <w:jc w:val="both"/>
      </w:pPr>
      <w:r>
        <w:t>I</w:t>
      </w:r>
      <w:proofErr w:type="gramStart"/>
      <w:r>
        <w:t xml:space="preserve"> </w:t>
      </w:r>
      <w:r w:rsidR="00680F2D">
        <w:t xml:space="preserve"> </w:t>
      </w:r>
      <w:proofErr w:type="gramEnd"/>
      <w:r w:rsidR="00680F2D">
        <w:t>- Ministério do Meio Ambiente</w:t>
      </w:r>
    </w:p>
    <w:p w:rsidR="00D82466" w:rsidRDefault="00D82466" w:rsidP="00D82466">
      <w:pPr>
        <w:ind w:left="15"/>
        <w:jc w:val="both"/>
      </w:pPr>
      <w:r>
        <w:t>II</w:t>
      </w:r>
      <w:r w:rsidR="00680F2D">
        <w:t xml:space="preserve"> – Ministério do Desenvolvimento Social e Combate à Fome</w:t>
      </w:r>
    </w:p>
    <w:p w:rsidR="00D82466" w:rsidRDefault="00D82466" w:rsidP="00D82466">
      <w:pPr>
        <w:ind w:left="15"/>
        <w:jc w:val="both"/>
      </w:pPr>
      <w:r>
        <w:t>III</w:t>
      </w:r>
      <w:r w:rsidR="00680F2D">
        <w:t xml:space="preserve"> – Ministério do Desenvolvimento Agrário</w:t>
      </w:r>
    </w:p>
    <w:p w:rsidR="00D82466" w:rsidRDefault="00D82466" w:rsidP="00D82466">
      <w:pPr>
        <w:ind w:left="15"/>
        <w:jc w:val="both"/>
      </w:pPr>
      <w:r>
        <w:t>IV – Casa Civil da Presidência da República;</w:t>
      </w:r>
    </w:p>
    <w:p w:rsidR="00D82466" w:rsidRDefault="00D82466" w:rsidP="00D82466">
      <w:pPr>
        <w:ind w:left="15"/>
        <w:jc w:val="both"/>
      </w:pPr>
      <w:r>
        <w:t xml:space="preserve">V </w:t>
      </w:r>
      <w:r w:rsidR="00680F2D">
        <w:t>– Secretaria Geral da Presidência da República;</w:t>
      </w:r>
    </w:p>
    <w:p w:rsidR="00D82466" w:rsidRDefault="00D82466" w:rsidP="00D82466">
      <w:pPr>
        <w:ind w:left="15"/>
        <w:jc w:val="both"/>
      </w:pPr>
      <w:r>
        <w:t>VI</w:t>
      </w:r>
      <w:r w:rsidR="00680F2D">
        <w:t xml:space="preserve"> – Secretaria de Promoção de Políticas de Igualdade Racial;</w:t>
      </w:r>
    </w:p>
    <w:p w:rsidR="00D82466" w:rsidRDefault="00D82466" w:rsidP="00D82466">
      <w:pPr>
        <w:ind w:left="15"/>
        <w:jc w:val="both"/>
      </w:pPr>
      <w:r>
        <w:t xml:space="preserve">VII - </w:t>
      </w:r>
      <w:r w:rsidRPr="00DA21C8">
        <w:t>Fundação Nacional do Índio</w:t>
      </w:r>
    </w:p>
    <w:p w:rsidR="00D82466" w:rsidRDefault="00D82466" w:rsidP="00D82466">
      <w:pPr>
        <w:ind w:left="15"/>
        <w:jc w:val="both"/>
      </w:pPr>
    </w:p>
    <w:p w:rsidR="00D82466" w:rsidRDefault="00D82466" w:rsidP="00D82466">
      <w:pPr>
        <w:ind w:left="15"/>
        <w:jc w:val="both"/>
      </w:pPr>
      <w:r>
        <w:rPr>
          <w:rFonts w:cs="Times New Roman"/>
        </w:rPr>
        <w:t>§2º - Sete representantes da Sociedade Civil, membros da CNPCT:</w:t>
      </w:r>
    </w:p>
    <w:p w:rsidR="00D82466" w:rsidRDefault="00D82466" w:rsidP="00D82466">
      <w:pPr>
        <w:ind w:left="15"/>
        <w:jc w:val="both"/>
      </w:pPr>
    </w:p>
    <w:p w:rsidR="00680F2D" w:rsidRDefault="00D82466" w:rsidP="00680F2D">
      <w:pPr>
        <w:ind w:left="15"/>
        <w:jc w:val="both"/>
      </w:pPr>
      <w:r>
        <w:t>I –</w:t>
      </w:r>
      <w:r w:rsidRPr="00D82466">
        <w:t xml:space="preserve"> </w:t>
      </w:r>
      <w:r w:rsidR="00680F2D">
        <w:t>Conselho Nacional das Populações Extrativistas - CNS</w:t>
      </w:r>
    </w:p>
    <w:p w:rsidR="00680F2D" w:rsidRDefault="00680F2D" w:rsidP="00680F2D">
      <w:pPr>
        <w:ind w:left="15"/>
        <w:jc w:val="both"/>
      </w:pPr>
      <w:r>
        <w:t>II – Coordenação Nacional de Articulação das Comunidades Negras Rurais Quilombolas - CONAQ</w:t>
      </w:r>
    </w:p>
    <w:p w:rsidR="00680F2D" w:rsidRDefault="00680F2D" w:rsidP="00680F2D">
      <w:pPr>
        <w:ind w:left="15"/>
        <w:jc w:val="both"/>
      </w:pPr>
      <w:r>
        <w:t xml:space="preserve">III </w:t>
      </w:r>
      <w:proofErr w:type="gramStart"/>
      <w:r>
        <w:t>–Associação</w:t>
      </w:r>
      <w:proofErr w:type="gramEnd"/>
      <w:r>
        <w:t xml:space="preserve"> Cultural de Preservação do Patrimônio </w:t>
      </w:r>
      <w:proofErr w:type="spellStart"/>
      <w:r>
        <w:t>Bantu</w:t>
      </w:r>
      <w:proofErr w:type="spellEnd"/>
      <w:r>
        <w:t xml:space="preserve"> - ACBANTU</w:t>
      </w:r>
    </w:p>
    <w:p w:rsidR="00680F2D" w:rsidRDefault="00680F2D" w:rsidP="00680F2D">
      <w:pPr>
        <w:widowControl/>
        <w:suppressAutoHyphens w:val="0"/>
        <w:autoSpaceDE w:val="0"/>
        <w:autoSpaceDN w:val="0"/>
        <w:adjustRightInd w:val="0"/>
      </w:pPr>
      <w:r>
        <w:t>IV- Comunidades de Fundo e Fecho de Pasto</w:t>
      </w:r>
    </w:p>
    <w:p w:rsidR="00680F2D" w:rsidRDefault="00680F2D" w:rsidP="00680F2D">
      <w:pPr>
        <w:ind w:left="15"/>
        <w:jc w:val="both"/>
      </w:pPr>
      <w:r>
        <w:t>V – Rede de Comunidades Tradicionais Pantaneiras</w:t>
      </w:r>
    </w:p>
    <w:p w:rsidR="00680F2D" w:rsidRDefault="00680F2D" w:rsidP="00680F2D">
      <w:pPr>
        <w:ind w:left="15"/>
        <w:jc w:val="both"/>
      </w:pPr>
      <w:r>
        <w:t>VI – Centro de Estudos e Discussão Romani - CEDRO</w:t>
      </w:r>
    </w:p>
    <w:p w:rsidR="00D82466" w:rsidRPr="006C2375" w:rsidRDefault="00D82466" w:rsidP="00680F2D">
      <w:pPr>
        <w:ind w:left="15"/>
        <w:jc w:val="both"/>
      </w:pPr>
      <w:r>
        <w:t xml:space="preserve">VII – </w:t>
      </w:r>
      <w:r w:rsidR="006C2375">
        <w:t>Articulação Pacari</w:t>
      </w:r>
    </w:p>
    <w:p w:rsidR="00D82466" w:rsidRDefault="00D82466" w:rsidP="00D82466">
      <w:pPr>
        <w:ind w:left="15"/>
        <w:jc w:val="both"/>
      </w:pPr>
    </w:p>
    <w:p w:rsidR="00D82466" w:rsidRDefault="00D82466" w:rsidP="00D82466">
      <w:pPr>
        <w:ind w:left="15"/>
        <w:jc w:val="both"/>
        <w:rPr>
          <w:rFonts w:cs="Tahoma"/>
        </w:rPr>
      </w:pPr>
      <w:r>
        <w:t xml:space="preserve">§ 3º - </w:t>
      </w:r>
      <w:r>
        <w:rPr>
          <w:rFonts w:cs="Tahoma"/>
        </w:rPr>
        <w:t>Constitu</w:t>
      </w:r>
      <w:r w:rsidR="00680F2D">
        <w:rPr>
          <w:rFonts w:cs="Tahoma"/>
        </w:rPr>
        <w:t>em</w:t>
      </w:r>
      <w:r>
        <w:rPr>
          <w:rFonts w:cs="Tahoma"/>
        </w:rPr>
        <w:t xml:space="preserve"> convidado</w:t>
      </w:r>
      <w:r w:rsidR="00680F2D">
        <w:rPr>
          <w:rFonts w:cs="Tahoma"/>
        </w:rPr>
        <w:t>s</w:t>
      </w:r>
      <w:r>
        <w:rPr>
          <w:rFonts w:cs="Tahoma"/>
        </w:rPr>
        <w:t xml:space="preserve"> permanente</w:t>
      </w:r>
      <w:r w:rsidR="00680F2D">
        <w:rPr>
          <w:rFonts w:cs="Tahoma"/>
        </w:rPr>
        <w:t>s</w:t>
      </w:r>
      <w:r>
        <w:rPr>
          <w:rFonts w:cs="Tahoma"/>
        </w:rPr>
        <w:t xml:space="preserve"> a contribuir com os trabalhos deste Grupo de Trabalho, a seguinte representação da sociedade civil:</w:t>
      </w:r>
    </w:p>
    <w:p w:rsidR="00D82466" w:rsidRDefault="00D82466" w:rsidP="00D82466">
      <w:pPr>
        <w:ind w:left="15"/>
        <w:jc w:val="both"/>
        <w:rPr>
          <w:rFonts w:cs="Tahoma"/>
        </w:rPr>
      </w:pPr>
    </w:p>
    <w:p w:rsidR="00680F2D" w:rsidRDefault="00D82466" w:rsidP="00D82466">
      <w:pPr>
        <w:ind w:left="15"/>
        <w:jc w:val="both"/>
        <w:rPr>
          <w:rFonts w:cs="Tahoma"/>
        </w:rPr>
      </w:pPr>
      <w:r>
        <w:rPr>
          <w:rFonts w:cs="Tahoma"/>
        </w:rPr>
        <w:t>I –</w:t>
      </w:r>
      <w:r w:rsidR="00680F2D">
        <w:rPr>
          <w:rFonts w:cs="Tahoma"/>
        </w:rPr>
        <w:t xml:space="preserve"> CONJUVE</w:t>
      </w:r>
    </w:p>
    <w:p w:rsidR="00D82466" w:rsidRDefault="00D82466" w:rsidP="00D82466">
      <w:pPr>
        <w:ind w:left="15"/>
        <w:jc w:val="both"/>
        <w:rPr>
          <w:rFonts w:cs="Tahoma"/>
        </w:rPr>
      </w:pPr>
      <w:r>
        <w:rPr>
          <w:rFonts w:cs="Tahoma"/>
        </w:rPr>
        <w:t>II – APIB</w:t>
      </w:r>
      <w:r w:rsidR="006C2375">
        <w:rPr>
          <w:rFonts w:cs="Tahoma"/>
        </w:rPr>
        <w:t xml:space="preserve">, sendo indicados cinco indígenas de cada uma das </w:t>
      </w:r>
      <w:proofErr w:type="gramStart"/>
      <w:r w:rsidR="006C2375">
        <w:rPr>
          <w:rFonts w:cs="Tahoma"/>
        </w:rPr>
        <w:t>Regiões</w:t>
      </w:r>
      <w:proofErr w:type="gramEnd"/>
    </w:p>
    <w:p w:rsidR="00D82466" w:rsidRPr="004E5C4D" w:rsidRDefault="00D82466" w:rsidP="00D82466">
      <w:pPr>
        <w:ind w:left="15"/>
        <w:jc w:val="both"/>
        <w:rPr>
          <w:b/>
          <w:color w:val="FF0000"/>
        </w:rPr>
      </w:pPr>
      <w:r>
        <w:rPr>
          <w:rFonts w:cs="Tahoma"/>
        </w:rPr>
        <w:t>I</w:t>
      </w:r>
      <w:r w:rsidR="006C2375">
        <w:rPr>
          <w:rFonts w:cs="Tahoma"/>
        </w:rPr>
        <w:t>II</w:t>
      </w:r>
      <w:r>
        <w:rPr>
          <w:rFonts w:cs="Tahoma"/>
        </w:rPr>
        <w:t xml:space="preserve"> – Via Campesina</w:t>
      </w:r>
      <w:r w:rsidR="006C2375">
        <w:rPr>
          <w:rFonts w:cs="Tahoma"/>
        </w:rPr>
        <w:t xml:space="preserve">, sendo </w:t>
      </w:r>
      <w:proofErr w:type="gramStart"/>
      <w:r w:rsidR="006C2375">
        <w:rPr>
          <w:rFonts w:cs="Tahoma"/>
        </w:rPr>
        <w:t>indicado três agricultores</w:t>
      </w:r>
      <w:proofErr w:type="gramEnd"/>
      <w:r w:rsidR="006C2375">
        <w:rPr>
          <w:rFonts w:cs="Tahoma"/>
        </w:rPr>
        <w:t xml:space="preserve"> e / ou agricultoras familiares</w:t>
      </w:r>
    </w:p>
    <w:p w:rsidR="00D82466" w:rsidRDefault="00D82466" w:rsidP="00D82466">
      <w:pPr>
        <w:ind w:left="15"/>
        <w:jc w:val="both"/>
      </w:pPr>
    </w:p>
    <w:p w:rsidR="00D82466" w:rsidRDefault="00D82466" w:rsidP="00D82466">
      <w:pPr>
        <w:ind w:left="15"/>
        <w:jc w:val="both"/>
      </w:pPr>
      <w:r>
        <w:lastRenderedPageBreak/>
        <w:t>Art. 2º - Ao Grupo de Trabalho incumbe:</w:t>
      </w:r>
    </w:p>
    <w:p w:rsidR="00D82466" w:rsidRDefault="00D82466" w:rsidP="00D82466">
      <w:pPr>
        <w:ind w:left="15"/>
        <w:jc w:val="both"/>
      </w:pPr>
    </w:p>
    <w:p w:rsidR="00D82466" w:rsidRDefault="00D82466" w:rsidP="00D82466">
      <w:pPr>
        <w:pStyle w:val="PargrafodaLista"/>
        <w:numPr>
          <w:ilvl w:val="0"/>
          <w:numId w:val="1"/>
        </w:numPr>
        <w:jc w:val="both"/>
      </w:pPr>
      <w:r>
        <w:t>Acompanhar o processo de regulamentação da Lei;</w:t>
      </w:r>
    </w:p>
    <w:p w:rsidR="00D82466" w:rsidRDefault="00D82466" w:rsidP="00D82466">
      <w:pPr>
        <w:pStyle w:val="PargrafodaLista"/>
        <w:numPr>
          <w:ilvl w:val="0"/>
          <w:numId w:val="1"/>
        </w:numPr>
        <w:jc w:val="both"/>
      </w:pPr>
      <w:r>
        <w:t>Acompanhar o processo de construção das oficinas para regulamentação da Lei com os povos e comunidades tradicionais</w:t>
      </w:r>
      <w:r w:rsidR="006C2375">
        <w:t>, incluindo metodologia, logística e produção de materiais</w:t>
      </w:r>
      <w:r>
        <w:t>;</w:t>
      </w:r>
    </w:p>
    <w:p w:rsidR="006C2375" w:rsidRDefault="00D82466" w:rsidP="00D82466">
      <w:pPr>
        <w:pStyle w:val="PargrafodaLista"/>
        <w:numPr>
          <w:ilvl w:val="0"/>
          <w:numId w:val="1"/>
        </w:numPr>
        <w:jc w:val="both"/>
      </w:pPr>
      <w:r>
        <w:t xml:space="preserve">Prestar auxílio ao pleno da Comissão Nacional nesta matéria específica; </w:t>
      </w:r>
      <w:proofErr w:type="gramStart"/>
      <w:r>
        <w:t>e</w:t>
      </w:r>
      <w:proofErr w:type="gramEnd"/>
    </w:p>
    <w:p w:rsidR="00D82466" w:rsidRDefault="00D82466" w:rsidP="00D82466">
      <w:pPr>
        <w:pStyle w:val="PargrafodaLista"/>
        <w:numPr>
          <w:ilvl w:val="0"/>
          <w:numId w:val="1"/>
        </w:numPr>
        <w:jc w:val="both"/>
      </w:pPr>
      <w:r>
        <w:t xml:space="preserve">Relatar </w:t>
      </w:r>
      <w:r w:rsidR="006C2375">
        <w:t>o processo de oficinas para regulamentação da Lei e</w:t>
      </w:r>
      <w:r>
        <w:t>m reuni</w:t>
      </w:r>
      <w:r w:rsidR="006C2375">
        <w:t>ões ordinárias</w:t>
      </w:r>
      <w:r>
        <w:t xml:space="preserve"> da Comissão Nacional.</w:t>
      </w:r>
    </w:p>
    <w:p w:rsidR="00D82466" w:rsidRDefault="00D82466" w:rsidP="00D82466">
      <w:pPr>
        <w:pStyle w:val="PargrafodaLista"/>
        <w:ind w:left="795"/>
        <w:jc w:val="both"/>
      </w:pPr>
    </w:p>
    <w:p w:rsidR="00D82466" w:rsidRDefault="00D82466" w:rsidP="00D82466">
      <w:pPr>
        <w:ind w:left="15"/>
        <w:jc w:val="both"/>
      </w:pPr>
    </w:p>
    <w:p w:rsidR="00E653C2" w:rsidRDefault="00E653C2" w:rsidP="00E653C2">
      <w:pPr>
        <w:pStyle w:val="Citaes"/>
        <w:ind w:left="0" w:right="165"/>
        <w:jc w:val="both"/>
      </w:pPr>
      <w:r>
        <w:t xml:space="preserve">Art. 3º - O Grupo de Trabalho será coordenado conjuntamente pelos representantes do Ministério do Meio Ambiente e Rede de Comunidades Tradicionais Pantaneiras e nos seus impedimentos e afastamentos legais ou regulamentares, pelos representantes do Ministério do Desenvolvimento Social e Combate à Fome e Associação Cultural de Preservação do Patrimônio </w:t>
      </w:r>
      <w:proofErr w:type="spellStart"/>
      <w:r>
        <w:t>Bantu</w:t>
      </w:r>
      <w:proofErr w:type="spellEnd"/>
      <w:r>
        <w:t>.</w:t>
      </w:r>
    </w:p>
    <w:p w:rsidR="00E653C2" w:rsidRDefault="00E653C2" w:rsidP="00E653C2">
      <w:pPr>
        <w:pStyle w:val="Citaes"/>
        <w:ind w:left="0" w:right="165"/>
        <w:jc w:val="both"/>
      </w:pPr>
      <w:r>
        <w:t>Art. 4º - O Grupo de Trabalho Interno não representa a CNPCT perante autoridades governamentais externas.</w:t>
      </w:r>
    </w:p>
    <w:p w:rsidR="00E653C2" w:rsidRDefault="00E653C2" w:rsidP="00E653C2">
      <w:pPr>
        <w:pStyle w:val="Citaes"/>
        <w:ind w:left="0" w:right="165"/>
        <w:jc w:val="both"/>
      </w:pPr>
      <w:r>
        <w:t xml:space="preserve"> Art. 5º - Os trabalhos serão encerrados com a conclusão da regulamentação da Lei.</w:t>
      </w:r>
    </w:p>
    <w:p w:rsidR="00E653C2" w:rsidRPr="00760CEE" w:rsidRDefault="00E653C2" w:rsidP="00E653C2">
      <w:pPr>
        <w:pStyle w:val="Citaes"/>
        <w:ind w:left="0" w:right="165"/>
        <w:jc w:val="both"/>
        <w:rPr>
          <w:color w:val="000000"/>
        </w:rPr>
      </w:pPr>
      <w:r>
        <w:t xml:space="preserve">Art. 6º – </w:t>
      </w:r>
      <w:r w:rsidRPr="00760CEE">
        <w:rPr>
          <w:color w:val="000000"/>
        </w:rPr>
        <w:t xml:space="preserve">A participação </w:t>
      </w:r>
      <w:r>
        <w:rPr>
          <w:color w:val="000000"/>
        </w:rPr>
        <w:t>no Grupo de Trabalho de que trata esta Deliberação</w:t>
      </w:r>
      <w:r w:rsidRPr="00760CEE">
        <w:rPr>
          <w:color w:val="000000"/>
        </w:rPr>
        <w:t xml:space="preserve"> será considerada prestação de serviço público relevante, não remunerada.</w:t>
      </w:r>
    </w:p>
    <w:p w:rsidR="00E653C2" w:rsidRDefault="00E653C2" w:rsidP="00E653C2">
      <w:pPr>
        <w:spacing w:after="100" w:afterAutospacing="1"/>
        <w:jc w:val="both"/>
        <w:rPr>
          <w:rFonts w:eastAsia="Times New Roman"/>
          <w:lang w:eastAsia="pt-BR"/>
        </w:rPr>
      </w:pPr>
      <w:r w:rsidRPr="00EB3D33">
        <w:rPr>
          <w:rFonts w:eastAsia="Times New Roman"/>
          <w:lang w:eastAsia="pt-BR"/>
        </w:rPr>
        <w:t>Art.</w:t>
      </w:r>
      <w:r>
        <w:rPr>
          <w:rFonts w:eastAsia="Times New Roman"/>
          <w:lang w:eastAsia="pt-BR"/>
        </w:rPr>
        <w:t xml:space="preserve"> 7º</w:t>
      </w:r>
      <w:r w:rsidRPr="00EB3D33">
        <w:rPr>
          <w:rFonts w:eastAsia="Times New Roman"/>
          <w:lang w:eastAsia="pt-BR"/>
        </w:rPr>
        <w:t xml:space="preserve"> </w:t>
      </w:r>
      <w:r>
        <w:rPr>
          <w:rFonts w:eastAsia="Times New Roman"/>
          <w:lang w:eastAsia="pt-BR"/>
        </w:rPr>
        <w:t xml:space="preserve">- </w:t>
      </w:r>
      <w:r w:rsidRPr="00EB3D33">
        <w:rPr>
          <w:rFonts w:eastAsia="Times New Roman"/>
          <w:lang w:eastAsia="pt-BR"/>
        </w:rPr>
        <w:t xml:space="preserve">O apoio administrativo e os meios necessários para a execução dos trabalhos do Grupo de Trabalho serão fornecidos </w:t>
      </w:r>
      <w:r>
        <w:rPr>
          <w:rFonts w:eastAsia="Times New Roman"/>
          <w:lang w:eastAsia="pt-BR"/>
        </w:rPr>
        <w:t>pela Presidência e Secretaria Executiva da CNPCT</w:t>
      </w:r>
      <w:r w:rsidRPr="00EB3D33">
        <w:rPr>
          <w:rFonts w:eastAsia="Times New Roman"/>
          <w:lang w:eastAsia="pt-BR"/>
        </w:rPr>
        <w:t>.</w:t>
      </w:r>
    </w:p>
    <w:p w:rsidR="00E653C2" w:rsidRPr="00EB3D33" w:rsidRDefault="00E653C2" w:rsidP="00E653C2">
      <w:pPr>
        <w:spacing w:after="100" w:afterAutospacing="1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Art. 8º - </w:t>
      </w:r>
      <w:r w:rsidRPr="00EB3D33">
        <w:rPr>
          <w:rFonts w:eastAsia="Times New Roman"/>
          <w:lang w:eastAsia="pt-BR"/>
        </w:rPr>
        <w:t>Est</w:t>
      </w:r>
      <w:r w:rsidRPr="00167551">
        <w:rPr>
          <w:rFonts w:eastAsia="Times New Roman"/>
          <w:lang w:eastAsia="pt-BR"/>
        </w:rPr>
        <w:t>a</w:t>
      </w:r>
      <w:r w:rsidRPr="00EB3D33">
        <w:rPr>
          <w:rFonts w:eastAsia="Times New Roman"/>
          <w:lang w:eastAsia="pt-BR"/>
        </w:rPr>
        <w:t xml:space="preserve"> </w:t>
      </w:r>
      <w:r>
        <w:rPr>
          <w:rFonts w:eastAsia="Times New Roman"/>
          <w:lang w:eastAsia="pt-BR"/>
        </w:rPr>
        <w:t>Deliberação</w:t>
      </w:r>
      <w:r w:rsidRPr="00167551">
        <w:rPr>
          <w:rFonts w:eastAsia="Times New Roman"/>
          <w:lang w:eastAsia="pt-BR"/>
        </w:rPr>
        <w:t xml:space="preserve"> </w:t>
      </w:r>
      <w:r w:rsidRPr="00EB3D33">
        <w:rPr>
          <w:rFonts w:eastAsia="Times New Roman"/>
          <w:lang w:eastAsia="pt-BR"/>
        </w:rPr>
        <w:t>entra em vigor na data de sua publicação</w:t>
      </w:r>
      <w:r>
        <w:rPr>
          <w:rFonts w:eastAsia="Times New Roman"/>
          <w:lang w:eastAsia="pt-BR"/>
        </w:rPr>
        <w:t xml:space="preserve"> no Diário Oficial da União</w:t>
      </w:r>
      <w:r w:rsidRPr="00EB3D33">
        <w:rPr>
          <w:rFonts w:eastAsia="Times New Roman"/>
          <w:lang w:eastAsia="pt-BR"/>
        </w:rPr>
        <w:t>.</w:t>
      </w:r>
    </w:p>
    <w:p w:rsidR="00E653C2" w:rsidRDefault="00E653C2" w:rsidP="00E653C2">
      <w:pPr>
        <w:ind w:firstLine="1740"/>
        <w:jc w:val="both"/>
        <w:rPr>
          <w:rFonts w:ascii="Arial" w:hAnsi="Arial" w:cs="Arial"/>
          <w:sz w:val="28"/>
          <w:szCs w:val="28"/>
        </w:rPr>
      </w:pPr>
    </w:p>
    <w:p w:rsidR="00D82466" w:rsidRDefault="00D82466" w:rsidP="00D82466">
      <w:pPr>
        <w:pStyle w:val="Citaes"/>
        <w:ind w:left="0" w:right="165"/>
        <w:jc w:val="both"/>
      </w:pPr>
    </w:p>
    <w:p w:rsidR="00D82466" w:rsidRDefault="00D82466" w:rsidP="00D82466">
      <w:pPr>
        <w:pStyle w:val="Citaes"/>
        <w:ind w:left="0" w:right="165"/>
        <w:jc w:val="both"/>
      </w:pPr>
    </w:p>
    <w:p w:rsidR="00D82466" w:rsidRDefault="00D82466" w:rsidP="00D82466">
      <w:pPr>
        <w:ind w:firstLine="1740"/>
        <w:jc w:val="both"/>
        <w:rPr>
          <w:rFonts w:ascii="Arial" w:hAnsi="Arial" w:cs="Arial"/>
          <w:sz w:val="28"/>
          <w:szCs w:val="28"/>
        </w:rPr>
      </w:pPr>
    </w:p>
    <w:p w:rsidR="00D82466" w:rsidRDefault="00D82466" w:rsidP="00D82466">
      <w:pPr>
        <w:ind w:hanging="15"/>
        <w:jc w:val="center"/>
        <w:rPr>
          <w:b/>
        </w:rPr>
      </w:pPr>
      <w:r>
        <w:rPr>
          <w:b/>
        </w:rPr>
        <w:t xml:space="preserve">MARCELO CARDONA ROCHA </w:t>
      </w:r>
    </w:p>
    <w:p w:rsidR="00D82466" w:rsidRDefault="00D82466" w:rsidP="00D82466">
      <w:pPr>
        <w:ind w:hanging="15"/>
        <w:jc w:val="center"/>
        <w:rPr>
          <w:b/>
        </w:rPr>
      </w:pPr>
    </w:p>
    <w:p w:rsidR="00D82466" w:rsidRDefault="00D82466" w:rsidP="00D82466">
      <w:pPr>
        <w:jc w:val="center"/>
      </w:pPr>
      <w:r>
        <w:rPr>
          <w:b/>
        </w:rPr>
        <w:t>Presidente</w:t>
      </w:r>
    </w:p>
    <w:p w:rsidR="00D82466" w:rsidRDefault="00D82466" w:rsidP="00D82466"/>
    <w:p w:rsidR="00381A2C" w:rsidRDefault="00381A2C"/>
    <w:sectPr w:rsidR="00381A2C" w:rsidSect="001255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C6" w:rsidRDefault="00DA63C6" w:rsidP="00D82466">
      <w:r>
        <w:separator/>
      </w:r>
    </w:p>
  </w:endnote>
  <w:endnote w:type="continuationSeparator" w:id="0">
    <w:p w:rsidR="00DA63C6" w:rsidRDefault="00DA63C6" w:rsidP="00D8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A1" w:rsidRDefault="003511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A1" w:rsidRDefault="003511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A1" w:rsidRDefault="003511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C6" w:rsidRDefault="00DA63C6" w:rsidP="00D82466">
      <w:r>
        <w:separator/>
      </w:r>
    </w:p>
  </w:footnote>
  <w:footnote w:type="continuationSeparator" w:id="0">
    <w:p w:rsidR="00DA63C6" w:rsidRDefault="00DA63C6" w:rsidP="00D82466">
      <w:r>
        <w:continuationSeparator/>
      </w:r>
    </w:p>
  </w:footnote>
  <w:footnote w:id="1">
    <w:p w:rsidR="00D82466" w:rsidRDefault="00D82466" w:rsidP="00D82466">
      <w:pPr>
        <w:pStyle w:val="Textodenotaderodap"/>
        <w:ind w:left="0" w:firstLine="0"/>
        <w:jc w:val="both"/>
      </w:pPr>
      <w:r>
        <w:rPr>
          <w:rStyle w:val="Caracteresdenotaderodap"/>
        </w:rPr>
        <w:footnoteRef/>
      </w:r>
      <w:r>
        <w:tab/>
        <w:t xml:space="preserve"> Aprovada durante a 4ª Reunião </w:t>
      </w:r>
      <w:r w:rsidR="00E653C2">
        <w:t>Extrao</w:t>
      </w:r>
      <w:r>
        <w:t xml:space="preserve">rdinária da Comissão Nacional de Desenvolvimento Sustentável dos Povos e Comunidades Tradicionais, realizada </w:t>
      </w:r>
      <w:r w:rsidR="00E653C2">
        <w:t>dia 03 de julho de 2015</w:t>
      </w:r>
      <w:r>
        <w:t>, em Brasília-DF. Aguardando publicação no Diário Oficial da União.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A1" w:rsidRDefault="00DA63C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99682" o:spid="_x0000_s2050" type="#_x0000_t136" style="position:absolute;margin-left:0;margin-top:0;width:466.2pt;height:133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A1" w:rsidRDefault="00DA63C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99683" o:spid="_x0000_s2051" type="#_x0000_t136" style="position:absolute;margin-left:0;margin-top:0;width:466.2pt;height:133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A1" w:rsidRDefault="00DA63C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99681" o:spid="_x0000_s2049" type="#_x0000_t136" style="position:absolute;margin-left:0;margin-top:0;width:466.2pt;height:133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490C"/>
    <w:multiLevelType w:val="hybridMultilevel"/>
    <w:tmpl w:val="38428EE4"/>
    <w:lvl w:ilvl="0" w:tplc="B792D2EC">
      <w:start w:val="1"/>
      <w:numFmt w:val="upperRoman"/>
      <w:lvlText w:val="%1-"/>
      <w:lvlJc w:val="left"/>
      <w:pPr>
        <w:ind w:left="7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66"/>
    <w:rsid w:val="00310304"/>
    <w:rsid w:val="003511A1"/>
    <w:rsid w:val="00381A2C"/>
    <w:rsid w:val="00460C07"/>
    <w:rsid w:val="00482EE7"/>
    <w:rsid w:val="00680F2D"/>
    <w:rsid w:val="006C2375"/>
    <w:rsid w:val="00D306A3"/>
    <w:rsid w:val="00D82466"/>
    <w:rsid w:val="00DA63C6"/>
    <w:rsid w:val="00E6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66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D82466"/>
    <w:rPr>
      <w:vertAlign w:val="superscript"/>
    </w:rPr>
  </w:style>
  <w:style w:type="paragraph" w:styleId="Textodenotaderodap">
    <w:name w:val="footnote text"/>
    <w:basedOn w:val="Normal"/>
    <w:link w:val="TextodenotaderodapChar"/>
    <w:rsid w:val="00D82466"/>
    <w:pPr>
      <w:suppressLineNumbers/>
      <w:ind w:left="283" w:hanging="283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82466"/>
    <w:rPr>
      <w:rFonts w:ascii="Times New Roman" w:eastAsia="Lucida Sans Unicode" w:hAnsi="Times New Roman" w:cs="Calibri"/>
      <w:sz w:val="20"/>
      <w:szCs w:val="20"/>
      <w:lang w:eastAsia="ar-SA"/>
    </w:rPr>
  </w:style>
  <w:style w:type="paragraph" w:customStyle="1" w:styleId="Citaes">
    <w:name w:val="Citações"/>
    <w:basedOn w:val="Normal"/>
    <w:rsid w:val="00D82466"/>
    <w:pPr>
      <w:spacing w:after="283"/>
      <w:ind w:left="567" w:right="567"/>
    </w:pPr>
  </w:style>
  <w:style w:type="paragraph" w:customStyle="1" w:styleId="ecxmsonormal">
    <w:name w:val="ecxmsonormal"/>
    <w:basedOn w:val="Normal"/>
    <w:rsid w:val="00D82466"/>
    <w:pPr>
      <w:widowControl/>
      <w:suppressAutoHyphens w:val="0"/>
      <w:spacing w:after="324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D8246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511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11A1"/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511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11A1"/>
    <w:rPr>
      <w:rFonts w:ascii="Times New Roman" w:eastAsia="Lucida Sans Unicode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66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D82466"/>
    <w:rPr>
      <w:vertAlign w:val="superscript"/>
    </w:rPr>
  </w:style>
  <w:style w:type="paragraph" w:styleId="Textodenotaderodap">
    <w:name w:val="footnote text"/>
    <w:basedOn w:val="Normal"/>
    <w:link w:val="TextodenotaderodapChar"/>
    <w:rsid w:val="00D82466"/>
    <w:pPr>
      <w:suppressLineNumbers/>
      <w:ind w:left="283" w:hanging="283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82466"/>
    <w:rPr>
      <w:rFonts w:ascii="Times New Roman" w:eastAsia="Lucida Sans Unicode" w:hAnsi="Times New Roman" w:cs="Calibri"/>
      <w:sz w:val="20"/>
      <w:szCs w:val="20"/>
      <w:lang w:eastAsia="ar-SA"/>
    </w:rPr>
  </w:style>
  <w:style w:type="paragraph" w:customStyle="1" w:styleId="Citaes">
    <w:name w:val="Citações"/>
    <w:basedOn w:val="Normal"/>
    <w:rsid w:val="00D82466"/>
    <w:pPr>
      <w:spacing w:after="283"/>
      <w:ind w:left="567" w:right="567"/>
    </w:pPr>
  </w:style>
  <w:style w:type="paragraph" w:customStyle="1" w:styleId="ecxmsonormal">
    <w:name w:val="ecxmsonormal"/>
    <w:basedOn w:val="Normal"/>
    <w:rsid w:val="00D82466"/>
    <w:pPr>
      <w:widowControl/>
      <w:suppressAutoHyphens w:val="0"/>
      <w:spacing w:after="324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D8246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511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11A1"/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511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11A1"/>
    <w:rPr>
      <w:rFonts w:ascii="Times New Roman" w:eastAsia="Lucida Sans Unicode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Encontropct</dc:creator>
  <cp:lastModifiedBy>Encontropct</cp:lastModifiedBy>
  <cp:revision>2</cp:revision>
  <dcterms:created xsi:type="dcterms:W3CDTF">2015-08-21T12:30:00Z</dcterms:created>
  <dcterms:modified xsi:type="dcterms:W3CDTF">2015-08-21T12:30:00Z</dcterms:modified>
</cp:coreProperties>
</file>