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bookmarkStart w:id="0" w:name="_GoBack"/>
      <w:bookmarkEnd w:id="0"/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MINISTÉRIO DA CIDADANIA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COMISSÃO TÉCNICA PORTARIA Nº 70/SESAN/2018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COMISSÃO TÉCNICA PORTARIA Nº 70/SESAN/2018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CONTRATAÇÃO DE CONSULTOR INDIVIDUAL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MODALIDADE PRODUTO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t-BR"/>
        </w:rPr>
        <w:t>IICA BRA/IICA/17/001</w:t>
      </w:r>
    </w:p>
    <w:p w:rsidR="00FE5CF8" w:rsidRPr="00FE5CF8" w:rsidRDefault="00FE5CF8" w:rsidP="00FE5CF8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p w:rsidR="00FE5CF8" w:rsidRPr="00FE5CF8" w:rsidRDefault="00FE5CF8" w:rsidP="00FE5CF8">
      <w:pPr>
        <w:spacing w:after="0" w:line="240" w:lineRule="auto"/>
        <w:ind w:left="60" w:right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969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5"/>
        <w:gridCol w:w="988"/>
        <w:gridCol w:w="6382"/>
      </w:tblGrid>
      <w:tr w:rsidR="00FE5CF8" w:rsidRPr="00FE5CF8" w:rsidTr="00FE5CF8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Nº da Ação no Planejamento da Secretaria - 02 /2018</w:t>
            </w:r>
          </w:p>
        </w:tc>
      </w:tr>
      <w:tr w:rsidR="00FE5CF8" w:rsidRPr="00FE5CF8" w:rsidTr="00FE5CF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Atividade do PRODOC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Código 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1.1.e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Descrição:</w:t>
            </w: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Gestão de Rede de Alimentos para elaboração de estudo técnico.</w:t>
            </w:r>
          </w:p>
        </w:tc>
      </w:tr>
      <w:tr w:rsidR="00FE5CF8" w:rsidRPr="00FE5CF8" w:rsidTr="00FE5CF8">
        <w:trPr>
          <w:tblCellSpacing w:w="7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Número de vagas: 01</w:t>
            </w:r>
          </w:p>
        </w:tc>
      </w:tr>
    </w:tbl>
    <w:p w:rsidR="00FE5CF8" w:rsidRPr="00FE5CF8" w:rsidRDefault="00FE5CF8" w:rsidP="00FE5C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OBJETIVO GERAL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Contratar consultoria para Elaboração de estratégias de qualificação para o aprimoramento e implementação da Rede Brasileira de Banco de Alimentos.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ENQUADRAMENTO DA CONTRATAÇÃO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contratação será realizada por meio do Projeto de Cooperação Técnica Internacional com o IICA - Projeto BRA/IICA/17/001 - "Segurança alimentar e nutricional: a disponibilidade e o acesso a alimentos saudáveis e o combate à pobreza rural".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objetivo geral desse projeto é "Contribuir para a promoção do abastecimento e acesso da população brasileira à alimentação adequada e saudável, à inclusão produtiva rural e à ampliação do acesso à água para a população pobre no meio rural e garantir a segurança alimentar e nutricional para toda a sociedade, inclusive povos e comunidades tradicionais".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âmbito do Projeto, a ação está enquadrada na atividade 1.1.E que prevê a contratação de consultoria especializada em gestão de redes de alimentos para elaboração de estudo técnico.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CONTEXTO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bancos de alimentos em essência constituem uma organização singular de captação e distribuição de alimentos circunscrevendo sua atuação no âmbito do abastecimento alimentar. A organização de suas atividades possibilita que alimentos em bom estado de consumo e que seriam desperdiçados e/ou perdidos possam ser destinados por meio de doação a entidades sócio assistenciais que protegem indivíduos em situação de vulnerabilidade social, econômica ou biológica.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Pela sua própria característica, necessitam de um suporte logístico bem estruturado de modo a poder captar as doações, transportá-las e distribuir para os beneficiários. Desse modo, a formação de redes locais de banco de alimentos e da Rede Brasileira de Bancos de Alimentos, visa favorecer a cooperação, o compartilhamento de estruturas e a comunicação entre as diversas iniciativas de bancos de alimentos de modo </w:t>
      </w: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 potencializar a estrutura física e logística existente e contribuir para a redução do desperdício ao atender as entidades sócio assistenciais beneficiárias, com alimentos de adequada qualidade nutricional.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Brasil existem iniciativas de bancos de alimentos públicos – sob gestão e responsabilidade dos entes subnacionais – e privados, sob a gestão de organizações da sociedade civil. Existem mapeados até o momento 221 bancos de alimentos em todo país, que se esperam conformem a Rede Brasileira de Bancos de Alimentos como disposto na Portaria MDS nº 17 de 14 de abril de 2016.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logística de captação e distribuição envolve não somente recursos humanos específicos, mas também toda uma infraestrutura a ser considerada como também processos de gerenciamento que vão desde a “aquisição” do alimento, sua movimentação e controle, até a entrega aos consumidores / beneficiários, com custos mínimos considerando o contexto de voluntariado e doação, para fins de apoio ao controle do desperdício de alimentos.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 o relato de diversos bancos de alimentos, os aspectos logísticos são os grandes responsáveis pelo não aumento da captação de alimentos ou pela dificuldade em atender demandas de captação e distribuição. Além disso, é necessário ter em conta o alto custo de implantação de uma estrutura física como o Banco de Alimentos, que em 2012, estavam estimados em 1,5milhões de reais.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Portanto, a Gestão Logística pode ser vista como o gerenciamento das atividades entre o ponto de origem e o ponto de consumo e a Gestão da Cadeia de Suprimentos pode ser vista como o gerenciamento de fluxos de produtos dentro e entre os bancos de alimentos.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Como ambos podem ser coordenados juntamente com critério que relacionam a vulnerabilidade da população brasileira para a definição de critérios ou diretrizes que apontem os espaços territoriais em que os bancos de alimentos, em diferentes modalidades, podem melhor desempenhar seu papel é um dos maiores desafios atuais.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enfoque inicial na região Sul considera o Acordo de Cooperação Técnica nº 28/2018 com o Banco Regional de Desenvolvimento do Extremo Sul como parte de uma ação de incentivo a ações que visem gerar condições e instrumentos para a redução das perdas e desperdícios de alimentos, especificamente nos estados do Paraná, Santa Catarina e Rio Grande do Sul, mediante oferta de crédito e assistência técnica aos municípios, cooperativas, agricultores familiares e outros atores da cadeia de produção e comercialização de alimentos nos referidos estados. Este acordo prevê entre suas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ações  "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Ampliar e qualificar a rede de doação de alimentos" contexto no qual inserem-se os bancos de alimentos.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Espera-se com esta consultoria que seja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apresentados  modelos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critérios para aprimoramento da redistribuição de alimentos que possam ser utilizadas pela Rede Brasileira de Bancos de Alimentos. </w:t>
      </w:r>
    </w:p>
    <w:p w:rsidR="00FE5CF8" w:rsidRPr="00FE5CF8" w:rsidRDefault="00FE5CF8" w:rsidP="00FE5C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PRODUTOS E ATIVIDADES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âmbito desta consultoria, o consultor deverá realizar as seguintes atividades:</w:t>
      </w:r>
    </w:p>
    <w:p w:rsidR="00FE5CF8" w:rsidRPr="00FE5CF8" w:rsidRDefault="00FE5CF8" w:rsidP="00FE5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Análise da gestão logística e de cadeia de suprimentos de bancos de alimentos na região Sul país.</w:t>
      </w:r>
    </w:p>
    <w:p w:rsidR="00FE5CF8" w:rsidRPr="00FE5CF8" w:rsidRDefault="00FE5CF8" w:rsidP="00FE5C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Desenvolver modelos de redistribuição de alimentos e demonstrar a aplicabilidade 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trabalho da consultoria corresponde a 6 (seis) produtos, conforme descritos a seguir: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8556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6"/>
      </w:tblGrid>
      <w:tr w:rsidR="00FE5CF8" w:rsidRPr="00FE5CF8" w:rsidTr="00FE5CF8">
        <w:trPr>
          <w:trHeight w:val="1212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01: Documento técnico contendo análise sobre a situação dos bancos de alimentos na região Sul do país – no que se refere à sua gestão e organização - e proposta de metodologia para elaboração dos estudos de caso referente à gestão logística e da cadeia de suprimento dos bancos nas cidades</w:t>
            </w:r>
          </w:p>
        </w:tc>
      </w:tr>
      <w:tr w:rsidR="00FE5CF8" w:rsidRPr="00FE5CF8" w:rsidTr="00FE5CF8">
        <w:trPr>
          <w:trHeight w:val="6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02: Documento técnico contendo apresentação dos estudos de casos referente à gestão logística dos bancos de alimentos nas cidades da região Sul.</w:t>
            </w:r>
          </w:p>
        </w:tc>
      </w:tr>
      <w:tr w:rsidR="00FE5CF8" w:rsidRPr="00FE5CF8" w:rsidTr="00FE5CF8">
        <w:trPr>
          <w:trHeight w:val="6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03:  Documento técnico contendo apresentação dos estudos de casos referente a cadeia de suprimentos dos bancos de alimentos nas cidades da região Sul</w:t>
            </w:r>
          </w:p>
        </w:tc>
      </w:tr>
      <w:tr w:rsidR="00FE5CF8" w:rsidRPr="00FE5CF8" w:rsidTr="00FE5CF8">
        <w:trPr>
          <w:trHeight w:val="6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04: Documento técnico contendo estudo exploratório sobre as possibilidades de modelos de redistribuição de alimentos para a região Sul</w:t>
            </w:r>
          </w:p>
        </w:tc>
      </w:tr>
      <w:tr w:rsidR="00FE5CF8" w:rsidRPr="00FE5CF8" w:rsidTr="00FE5CF8">
        <w:trPr>
          <w:trHeight w:val="61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05: Documento técnico contendo proposta de critérios para implantação de modelos de redistribuição de alimentos da região Sul</w:t>
            </w:r>
          </w:p>
        </w:tc>
      </w:tr>
      <w:tr w:rsidR="00FE5CF8" w:rsidRPr="00FE5CF8" w:rsidTr="00FE5CF8">
        <w:trPr>
          <w:trHeight w:val="598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06: Documento técnico contendo demonstração da aplicabilidade dos critérios definidos no Produto 5 para cada estado da região Sul e propor recomendações</w:t>
            </w:r>
          </w:p>
        </w:tc>
      </w:tr>
    </w:tbl>
    <w:p w:rsidR="00FE5CF8" w:rsidRPr="00FE5CF8" w:rsidRDefault="00FE5CF8" w:rsidP="00FE5CF8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p w:rsidR="00FE5CF8" w:rsidRPr="00FE5CF8" w:rsidRDefault="00FE5CF8" w:rsidP="00FE5CF8">
      <w:pPr>
        <w:spacing w:after="0" w:line="240" w:lineRule="auto"/>
        <w:ind w:left="60" w:right="6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Observações importantes: (i) o produto 01 deve apresentar na proposta de metodologia, os critérios de avaliação e os instrumentos a serem utilizados nos estudos de caso com a devida justificação destes; (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o objetivo dos estudos de casos é apresentar elementos que apontem quanto a qualidade de eficiência operacional e a descrever sobre a gestão logística e de cadeia de suprimento dos casos selecionados; (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iii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espera-se a apresentação de ao menos 1 (um) estudo de caso por estado da região Sul (PR, RS e SC).</w:t>
      </w:r>
    </w:p>
    <w:p w:rsidR="00FE5CF8" w:rsidRPr="00FE5CF8" w:rsidRDefault="00FE5CF8" w:rsidP="00FE5CF8">
      <w:pPr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eastAsia="pt-BR"/>
        </w:rPr>
        <w:t> 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FORMA DE APRESENTAÇÃO DOS PRODUTOS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consultor deverá garantir que os serviços executados sejam realizados com qualidade, atendendo a todas as especificações e no prazo estabelecido neste termo de referência.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consultor deverá seguir as orientações do supervisor da consultoria e submeter os produtos para sua apreciação e aprovação em tempo hábil para que seja possível a realização de ajustes que venham ser necessários dentro do prazo da entrega do produto.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produto entregue pelo consultor, aprovado pelo supervisor do contrato, deve ser enviado via e-mail em formato PDF e Word (".DOC" - versão 2010 ou similar) certificado pelo consultor através da Declaração de Autoria de Produto via Sistema Eletrônico de Informações – SEI.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Não serão aceitos produtos que apresentem mera reprodução de conteúdo da internet ou livros de outros autores sem os créditos devidos ou ainda sem que tais conteúdos sejam minimamente tratados/analisados pelo consultor.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Não serão aceitos produtos que apresentem textos já escritos pelo consultor em outros produtos ou publicações sem referência a eles. O produto elaborado requer ineditismo.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produtos serão pagos após a aprovação pelo supervisor do contrato, pelo Diretor Nacional de Projetos e Supervisor do Projeto no IICA.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estrutura dos Produtos deverão estar em conformidade com o “Manual para apresentação de relatórios técnicos, produtos e consultoria (IICA)” – março de 2009, que poderá ser obtido no seguinte endereço eletrônico </w:t>
      </w:r>
      <w:hyperlink r:id="rId5" w:tgtFrame="_blank" w:history="1">
        <w:r w:rsidRPr="00F75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www.iicabr.iica.org.br/publicacoes/manual-para</w:t>
        </w:r>
      </w:hyperlink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-apresentacao-de -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relatorios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-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tecnicos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-produtos-e-consultoria.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CRONOGRAMA DE EXECUÇÃO E DURAÇÃO DA CONSULTORIA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duração dos serviços de consultoria será de 12 (doze) meses, a contar da assinatura do Contrato, e a entrega dos produtos ao longo desse período será́ realizada conforme o cronograma expresso na Tabela 1.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Tabela 1: Cronograma de entrega dos produtos e respectivo percentual de remuneração.</w:t>
      </w:r>
    </w:p>
    <w:tbl>
      <w:tblPr>
        <w:tblW w:w="858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1"/>
        <w:gridCol w:w="1902"/>
        <w:gridCol w:w="1660"/>
        <w:gridCol w:w="1221"/>
      </w:tblGrid>
      <w:tr w:rsidR="00FE5CF8" w:rsidRPr="00FE5CF8" w:rsidTr="00FE5CF8">
        <w:trPr>
          <w:trHeight w:val="2034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Produtos esperados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Cronograma de entrega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(dias acumulados contados a partir da data de assinatura do Contrato)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Percentual de remuneração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Valor do produto</w:t>
            </w:r>
          </w:p>
        </w:tc>
      </w:tr>
      <w:tr w:rsidR="00FE5CF8" w:rsidRPr="00FE5CF8" w:rsidTr="00FE5CF8">
        <w:trPr>
          <w:trHeight w:val="204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01: Documento técnico contendo análise sobre a situação dos bancos de alimentos na região Sul do país – no que se refere à sua gestão e organização - e proposta de metodologia para elaboração dos estudos de caso referente à gestão logística e da cadeia de suprimento dos bancos nas cidades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60 dias após a assinatura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R$ 12.000,00</w:t>
            </w:r>
          </w:p>
        </w:tc>
      </w:tr>
      <w:tr w:rsidR="00FE5CF8" w:rsidRPr="00FE5CF8" w:rsidTr="00FE5CF8">
        <w:trPr>
          <w:trHeight w:val="11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02: Documento técnico contendo apresentação dos estudos de casos referente à gestão logística dos bancos de alimentos nas cidades da região Sul.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120 dias após a assinatura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R$ 12.000,00</w:t>
            </w:r>
          </w:p>
        </w:tc>
      </w:tr>
      <w:tr w:rsidR="00FE5CF8" w:rsidRPr="00FE5CF8" w:rsidTr="00FE5CF8">
        <w:trPr>
          <w:trHeight w:val="11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03:  Documento técnico contendo apresentação dos estudos de casos referente a cadeia de suprimentos dos bancos de alimentos nas cidades da região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180 dias após a assinatura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R$ 12.000,00</w:t>
            </w:r>
          </w:p>
        </w:tc>
      </w:tr>
      <w:tr w:rsidR="00FE5CF8" w:rsidRPr="00FE5CF8" w:rsidTr="00FE5CF8">
        <w:trPr>
          <w:trHeight w:val="11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04: Documento técnico contendo estudo exploratório sobre as possibilidades de modelos de redistribuição de alimentos para a região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240 dias após a assinatura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14%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R$ 14.000,00</w:t>
            </w:r>
          </w:p>
        </w:tc>
      </w:tr>
      <w:tr w:rsidR="00FE5CF8" w:rsidRPr="00FE5CF8" w:rsidTr="00FE5CF8">
        <w:trPr>
          <w:trHeight w:val="11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Produto 05: Documento técnico contendo proposta de critérios para implantação de modelos de redistribuição de alimentos da região Sul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300 dias após a assinatura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R$ 15.000,00</w:t>
            </w:r>
          </w:p>
        </w:tc>
      </w:tr>
      <w:tr w:rsidR="00FE5CF8" w:rsidRPr="00FE5CF8" w:rsidTr="00FE5CF8">
        <w:trPr>
          <w:trHeight w:val="1173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Produto 06: Documento técnico contendo demonstração da aplicabilidade dos critérios definidos no Produto 5 para cada estado da região Sul e propor recomendações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360 dias após a assinatura do contrato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R$ 35.000,00</w:t>
            </w:r>
          </w:p>
        </w:tc>
      </w:tr>
    </w:tbl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CUSTO TOTAL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custo total da consultoria é de R$ 100.000,00 (cem mil reais), sendo destinados ao pagamento de dos produtos, cumpridas as obrigações contratuais.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serviços serão remunerados em moeda nacional corrente, de acordo com a entrega dos produtos, uma vez aprovados pelo Supervisor do Contrato, pelo Diretor de Projetos e Supervisor do Projeto no IICA.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INSUMOS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Os custos de deslocamento, alimentação e hospedagem em viagens consideradas essenciais para a execução das atividades previstas neste Termo de Referência </w:t>
      </w:r>
      <w:r w:rsidRPr="00F752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serão custeados pelo Projeto de Cooperação Técnica BRA/IICA/17/001 “SEGURANÇA ALIMENTAR E NUTRICIONAL - MDS”. </w:t>
      </w:r>
      <w:proofErr w:type="gramStart"/>
      <w:r w:rsidRPr="00F752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A</w:t>
      </w:r>
      <w:r w:rsidR="00283141" w:rsidRPr="00F752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Secretaria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Nacional de Inclusão Social e Produtiva Rural - SEISP disponibilizará documentos, materiais e insumos que julgar necessário para a execução da consultoria.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LOCALIZAÇÃO DA CONSULTORIA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de residência do consultor. Os custos com deslocamento nos trechos referentes ao local de origem/Brasília/origem poderão ser arcados pelo Projeto. Além disso, sendo necessário o consultor poderá realizar viagens que contribuam para a elaboração dos produtos.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QUALIFICAÇÃO MÍNIMA DA CONSULTORIA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Poderão participar da seleção, profissionais que tenham, no mínimo, a qualificação descrita abaixo, que será verificada mediante aplicação dos critérios de avaliação distribuídos entre formação acadêmica e experiência profissional, respectivamente 30% e 70% dos pontos totais: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tbl>
      <w:tblPr>
        <w:tblW w:w="842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21"/>
      </w:tblGrid>
      <w:tr w:rsidR="00FE5CF8" w:rsidRPr="00FE5CF8" w:rsidTr="0028314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Requisitos obrigatórios</w:t>
            </w:r>
          </w:p>
        </w:tc>
      </w:tr>
      <w:tr w:rsidR="00FE5CF8" w:rsidRPr="00FE5CF8" w:rsidTr="00283141">
        <w:trPr>
          <w:trHeight w:val="87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Formação acadêmica:</w:t>
            </w: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Graduação nas áreas de  tecnologia de alimentos /ciência de alimentos /engenharia de alimentos/nutrição/ administração</w:t>
            </w:r>
          </w:p>
        </w:tc>
      </w:tr>
      <w:tr w:rsidR="00FE5CF8" w:rsidRPr="00FE5CF8" w:rsidTr="00283141">
        <w:trPr>
          <w:trHeight w:val="8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Experiência profissional: 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mínima comprovada de 5 anos em Políticas ou Programas de Segurança Alimentar e nutricional.</w:t>
            </w:r>
          </w:p>
        </w:tc>
      </w:tr>
      <w:tr w:rsidR="00FE5CF8" w:rsidRPr="00FE5CF8" w:rsidTr="00283141">
        <w:trPr>
          <w:trHeight w:val="297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Outros critérios de avaliação</w:t>
            </w:r>
          </w:p>
        </w:tc>
      </w:tr>
      <w:tr w:rsidR="00FE5CF8" w:rsidRPr="00FE5CF8" w:rsidTr="00283141">
        <w:trPr>
          <w:trHeight w:val="89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Formação acadêmica: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Pós-graduação/Especialização em gestão empresarial ou pública;  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na área de melhoria de processos e de logística.</w:t>
            </w:r>
          </w:p>
        </w:tc>
      </w:tr>
      <w:tr w:rsidR="00FE5CF8" w:rsidRPr="00FE5CF8" w:rsidTr="00283141">
        <w:trPr>
          <w:trHeight w:val="1159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Qualificação/Experiência Profissional: 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profissional cadeias de suprimentos, distribuição e comercialização;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na elaboração de documentos técnicos de análise e proposições na área de perdas e desperdícios de alimentos, bancos de alimento se/ou segurança alimentar e nutricional</w:t>
            </w:r>
          </w:p>
        </w:tc>
      </w:tr>
    </w:tbl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MÉTODO DE SELEÇÃO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seleção tem como fundamento legal o Decreto nº 5.151, de 22 de julho de 2004 e a Portaria MRE nº 8, de 4 de janeiro de 2017.</w:t>
      </w:r>
    </w:p>
    <w:p w:rsidR="00FE5CF8" w:rsidRPr="00F752B2" w:rsidRDefault="00FE5CF8" w:rsidP="00FE5CF8">
      <w:pPr>
        <w:pStyle w:val="PargrafodaLista"/>
        <w:numPr>
          <w:ilvl w:val="1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RECEBIMENTO DOS CURRÍCULOS</w:t>
      </w:r>
    </w:p>
    <w:p w:rsidR="00FE5CF8" w:rsidRPr="00FE5CF8" w:rsidRDefault="00283141" w:rsidP="00283141">
      <w:pPr>
        <w:spacing w:after="240"/>
        <w:ind w:left="12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</w:t>
      </w:r>
      <w:r w:rsidR="00FE5CF8"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currículos deverão ser</w:t>
      </w:r>
      <w:r w:rsidRPr="00F752B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anexados, obrigatoriamente, </w:t>
      </w:r>
      <w:r w:rsidRPr="00F752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no momento do cadastro, no site do Instituto Interamericano de Cooperação para a Agricultura – IICA  (</w:t>
      </w:r>
      <w:hyperlink r:id="rId6" w:history="1">
        <w:r w:rsidRPr="00F752B2">
          <w:rPr>
            <w:rStyle w:val="Hyperlink"/>
            <w:rFonts w:ascii="Times New Roman" w:hAnsi="Times New Roman" w:cs="Times New Roman"/>
            <w:sz w:val="24"/>
            <w:szCs w:val="24"/>
            <w:lang w:eastAsia="pt-BR"/>
          </w:rPr>
          <w:t>http://www.iica.int/pt/content/pessoa-física</w:t>
        </w:r>
      </w:hyperlink>
      <w:r w:rsidRPr="00F752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>) em “Oportunidades”, “Pessoa Física”, após cadastra-se é necessário clicar em “Desejo participar” no processo seletivo onde está inserido este termo de referência.  Solicita-se especial atenção no que se refere ao preenchimento das informações sobre os critérios solicitados neste Termo de Referência.</w:t>
      </w:r>
    </w:p>
    <w:p w:rsidR="00FE5CF8" w:rsidRPr="00F752B2" w:rsidRDefault="00FE5CF8" w:rsidP="00FE5CF8">
      <w:pPr>
        <w:pStyle w:val="PargrafodaLista"/>
        <w:numPr>
          <w:ilvl w:val="1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ANÁLISE CURRICULAR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Comissão de Avaliação definirá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candidato(a) melhor qualificado(a) nesse certame com base na análise de currículo. A comprovação documental das informações curriculares é parte integrante do processo.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perfil requerido e a capacidade do especialista serão aferidos com base no currículo acadêmico apresentado e na experiência profissional. As qualificações profissionais exigidas têm caráter eliminatório e haverá pontuação classificatória para seleção.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 análise curricular ocorre em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duas  fases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:rsidR="00FE5CF8" w:rsidRPr="00FE5CF8" w:rsidRDefault="00FE5CF8" w:rsidP="00FE5CF8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1ª Fase – Nesta fase, os currículos dos candidatos serão analisados para verificação do cumprimento dos requisitos obrigatórios (e, portanto, eliminatórios), de acordo com as qualificações de formação acadêmica e experiências profissionais informadas no item 10 deste Termo de Referência.</w:t>
      </w:r>
    </w:p>
    <w:p w:rsidR="00FE5CF8" w:rsidRPr="00FE5CF8" w:rsidRDefault="00FE5CF8" w:rsidP="00FE5CF8">
      <w:pPr>
        <w:spacing w:before="120" w:after="120" w:line="240" w:lineRule="auto"/>
        <w:ind w:left="1800"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2ª Fase – Nesta fase, serão pontuados, exclusivamente, os currículos válidos, ou seja, aqueles que obtiverem resposta “SIM” em todos os requisitos obrigatórios. A pontuação será o resultado da análise dos critérios de formação acadêmica e experiência profissional informadas no item 10 deste Termo de Referência, conforme a tabela abaixo:</w:t>
      </w:r>
    </w:p>
    <w:tbl>
      <w:tblPr>
        <w:tblW w:w="885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7"/>
        <w:gridCol w:w="1957"/>
      </w:tblGrid>
      <w:tr w:rsidR="00FE5CF8" w:rsidRPr="00FE5CF8" w:rsidTr="00283141">
        <w:trPr>
          <w:trHeight w:val="289"/>
          <w:tblCellSpacing w:w="7" w:type="dxa"/>
        </w:trPr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3141" w:rsidRPr="00F752B2" w:rsidRDefault="00283141" w:rsidP="00283141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                       As pontuações serão distribuídas entre os critérios de formação acadêmica e de experiência profissional de acordo com critérios objetivos pré-estabelecidos pela Comissão Técnica de Seleção.</w:t>
            </w:r>
          </w:p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DE FORMAÇÃO ACADÊMICA</w:t>
            </w:r>
          </w:p>
        </w:tc>
        <w:tc>
          <w:tcPr>
            <w:tcW w:w="19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</w:tr>
      <w:tr w:rsidR="00FE5CF8" w:rsidRPr="00FE5CF8" w:rsidTr="00283141">
        <w:trPr>
          <w:trHeight w:val="579"/>
          <w:tblCellSpacing w:w="7" w:type="dxa"/>
        </w:trPr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Graduação nas áreas de  tecnologia de alimentos /ciência de alimentos /engenharia de alimentos/nutrição/ administração.</w:t>
            </w:r>
          </w:p>
        </w:tc>
        <w:tc>
          <w:tcPr>
            <w:tcW w:w="19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Até 30 pontos</w:t>
            </w:r>
          </w:p>
        </w:tc>
      </w:tr>
      <w:tr w:rsidR="00FE5CF8" w:rsidRPr="00FE5CF8" w:rsidTr="00283141">
        <w:trPr>
          <w:trHeight w:val="289"/>
          <w:tblCellSpacing w:w="7" w:type="dxa"/>
        </w:trPr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Pós-graduação/Especialização em gestão empresarial ou pública.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FE5CF8" w:rsidRPr="00FE5CF8" w:rsidTr="00283141">
        <w:trPr>
          <w:trHeight w:val="289"/>
          <w:tblCellSpacing w:w="7" w:type="dxa"/>
        </w:trPr>
        <w:tc>
          <w:tcPr>
            <w:tcW w:w="6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Cursos na área de melhoria de processos e de logística.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E5CF8" w:rsidRPr="00FE5CF8" w:rsidRDefault="00FE5CF8" w:rsidP="00F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E5CF8" w:rsidRPr="00FE5CF8" w:rsidRDefault="00FE5CF8" w:rsidP="00FE5CF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pt-BR"/>
        </w:rPr>
      </w:pPr>
    </w:p>
    <w:tbl>
      <w:tblPr>
        <w:tblW w:w="8841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5"/>
        <w:gridCol w:w="1698"/>
        <w:gridCol w:w="1698"/>
      </w:tblGrid>
      <w:tr w:rsidR="00283141" w:rsidRPr="00F752B2" w:rsidTr="00283141">
        <w:trPr>
          <w:trHeight w:val="294"/>
          <w:tblCellSpacing w:w="7" w:type="dxa"/>
        </w:trPr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CRITÉRIOS DE EXPERIÊNCIA PROFISSIONAL</w:t>
            </w:r>
          </w:p>
        </w:tc>
        <w:tc>
          <w:tcPr>
            <w:tcW w:w="1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</w:tcPr>
          <w:p w:rsidR="00283141" w:rsidRPr="00F752B2" w:rsidRDefault="00283141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83141" w:rsidRPr="00F752B2" w:rsidTr="00283141">
        <w:trPr>
          <w:trHeight w:val="589"/>
          <w:tblCellSpacing w:w="7" w:type="dxa"/>
        </w:trPr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profissional mínima comprovada de 5 anos em Políticas ou Programas de Segurança Alimentar e Nutricional.</w:t>
            </w:r>
          </w:p>
        </w:tc>
        <w:tc>
          <w:tcPr>
            <w:tcW w:w="168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752B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Até 70  pontos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141" w:rsidRPr="00F752B2" w:rsidRDefault="00283141" w:rsidP="00FE5CF8">
            <w:pPr>
              <w:spacing w:after="0" w:line="240" w:lineRule="auto"/>
              <w:ind w:left="60" w:right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  <w:tr w:rsidR="00283141" w:rsidRPr="00F752B2" w:rsidTr="00283141">
        <w:trPr>
          <w:trHeight w:val="589"/>
          <w:tblCellSpacing w:w="7" w:type="dxa"/>
        </w:trPr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profissional com cadeias de suprimentos, distribuição e comercialização.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141" w:rsidRPr="00F752B2" w:rsidRDefault="00283141" w:rsidP="00F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283141" w:rsidRPr="00F752B2" w:rsidTr="00283141">
        <w:trPr>
          <w:trHeight w:val="869"/>
          <w:tblCellSpacing w:w="7" w:type="dxa"/>
        </w:trPr>
        <w:tc>
          <w:tcPr>
            <w:tcW w:w="5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FE5C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Experiência na elaboração de documentos técnicos de análise e proposições na área de perdas e desperdícios de alimentos, bancos de alimentos e/ou segurança alimentar e nutricional.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3141" w:rsidRPr="00FE5CF8" w:rsidRDefault="00283141" w:rsidP="00F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3141" w:rsidRPr="00F752B2" w:rsidRDefault="00283141" w:rsidP="00FE5C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83141" w:rsidRPr="00F752B2" w:rsidRDefault="00283141" w:rsidP="00283141">
      <w:pPr>
        <w:spacing w:after="0" w:line="240" w:lineRule="auto"/>
        <w:ind w:left="142"/>
        <w:jc w:val="both"/>
        <w:rPr>
          <w:rFonts w:ascii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As pontuações serão distribuídas entre os critérios de formação acadêmica e de experiência profissional de acordo com critérios objetivos pré-estabelecidos pela Comissão Técnica de Seleção.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Serão classificados candidatos que obtiverem no mínimo 60 pontos.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FE5CF8" w:rsidRPr="00F752B2" w:rsidRDefault="00FE5CF8" w:rsidP="00FE5CF8">
      <w:pPr>
        <w:pStyle w:val="PargrafodaLista"/>
        <w:numPr>
          <w:ilvl w:val="1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APRESENTAÇÃO DA DOCUMENTAÇÃO COMPROBATÓRIA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solicitado ao candidato com maior pontuação na soma dos pontos obtidos na análise curricular a apresentação de cópias autenticadas dos documentos declarados no currículo, a serem listados pela Comissão Técnica de Seleção, no o prazo de até 5 dias úteis. O candidato que não apresentar os documentos solicitados no prazo estipulado, será automaticamente desclassificado. Diante disso, caso ocorra, será convocado o candidato que obter a segunda maior pontuação ou elegível para a apresentação dos documentos e assim sucessivamente.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Após a apresentação de toda a documentação, e previamente à contratação, será convocada uma Reunião de Negociação para Contratação, na qual serão discutidos o Termo de Referência, plano de trabalho, a metodologia, insumos (viagens, material,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), método de coleta de dados e condições do contrato,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etc..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reunião ocorrerá na presença do candidato, dos 3 membros da Comissão Técnica de Seleção e de um membro da equipe da Diretoria de Cooperação Técnica, e poderá ser feita por áudio ou videoconferência caso o consultor não resida em Brasília.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Restrições para contratação de servidores públicos, professores federais e bolsistas.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Segundo Decreto 5.151/2004, não pode ser contratado servidor ativo, ainda que licenciado, da administração pública federal, do Distrito Federal, dos estados e municípios, direta ou indireta, bem como de empregado de suas subsidiárias e controladas. O candidato também não deve pertencer ao quadro funcional das instituições de ensino superior qualificadas para atuar enquanto agências implementadoras. Durante a vigência da Lei de Diretrizes Orçamentárias – LDO 2019 é permitida a contratação de servidores públicos que se encontrem em licença sem remuneração para tratar de interesses particular.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Ainda, durante a vigência da Lei de Diretrizes Orçamentárias – LDO 2019 é permitida a contratação de professor de Universidades, inclusive os de dedicação exclusiva, para realização de pesquisas e estudos de excelência, desde que: haja declaração do chefe imediato e do dirigente máximo do órgão de origem de inexistência de incompatibilidade de horários e de comprometimento das atividades atribuídas. Os projetos de pesquisas e estudos devem ser aprovados pelo dirigente máximo do órgão ou da entidade ao qual esteja vinculado o professor.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 conformidade com o artigo 1º da Portaria conjunta CAPES/CNPq nº 1, de 15 de julho de 2010, o bolsista de instituição federal (CNPQ e CAPES) pode exercer função de consultoria em projetos de cooperação técnica internacional, desde que relacionada à sua área de atuação e de interesse para sua formação acadêmica, cientifica e tecnológica, sendo necessária a autorização do orientador, devidamente informada à coordenação do curso ou programa de pós-graduação em que estiver matriculado e registrado no Cadastro Discente da CAPES.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Conforme a Lei nº 12.813/2013, que dispõe sobre o conflito de interesses no exercício de cargo ou emprego do Poder Público Executivo federal e impedimentos posteriores ao exercício do cargo ou emprego, configura conflito de interesses após o exercício de cargo ou emprego no âmbito do Poder Executivo federal (alínea c, inciso II do artigo 6º):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...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II –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período de 6(seis) meses, contado da data da dispensa, exoneração, destituição, demissão ou aposentadoria, salvo quando expressamente autorizado, conforme o caso, pela Comissão de Ética Pública ou pela Controladoria-Geral da União: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c)celebrar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 órgãos ou entidades do Poder Executivo federal contratos de serviço, consultoria assessoramento ou atividades similares, vinculados, ainda que indiretamente, ao órgão ou entidade em que tenha ocupado o cargo ou emprego;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autorização da contratação pela CGU deverá dar-se nos termos da Portaria Interministerial nº 333/2013 e da Portaria 351/2014 do MDS.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Ainda, nos termos da Lei n° 12.813/13, o candidato deve informar no currículo a informação sobre parentesco com servidor ou </w:t>
      </w:r>
      <w:proofErr w:type="spell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ex-servidor</w:t>
      </w:r>
      <w:proofErr w:type="spell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do Ministério da Cidadania. Caso haja parentesco, previamente à contratação, deverá haver consulta à Comissão de Ética sobre possível risco de conflito de interesse.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É vedada a contratação de candidato que tenha participado, mesmo que pontualmente, dos trabalhos de concepção, construção, autorização ou publicação do edital em questão.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SUPERVISÃO E ACOMPANHAMENTO DA CONSULTORIA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acompanhamento dos trabalhos será de responsabilidade do Ministério da Cidadania, por meio da Secretaria Nacional de Inclusão Social e Produtiva Rural, sob gestão do Diretor Departamento de Estruturação de Equipamentos Públicos para a Promoção da Alimentação – DEPROA.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PROPRIEDADES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Todas as peças (estudos, relatórios, pesquisas, informações ou outros materiais, incluindo gráficos, arquivos, documentos e dados eletrônicos) produzidas pelo contratado, fruto deste Termo de Referência, inclusive originais e arquivos em meio digital, independente dos meios de informação em que se encontrem produzido pelo Contratado sob este contrato, deverão ser entregues antes da data de término do contrato e pertencerão exclusivamente à contratante.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O(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contratado(a) não poderá fazer uso das informações produzidas por ele relativas aos produtos, a não ser que, expressamente, seja acordado entre as partes e devidamente registrado no Contrato.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conjunto das peças citadas anteriormente será incorporado ao acervo do MDS, podendo ainda ser publicado posteriormente conforme a vontade da contratante.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CONSIDERAÇÕES GERAIS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O(A) candidato(a) interessado, caso ainda não tenha cadastro como consultor do IICA, deve cadastrar-se em &lt;</w:t>
      </w:r>
      <w:hyperlink r:id="rId7" w:history="1">
        <w:r w:rsidRPr="00F752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http://www.iica.int/pt/content/pessoa-física</w:t>
        </w:r>
      </w:hyperlink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/&gt;, em “Oportunidades”, “Pessoa Física”, selecionando esta vaga desejada (Termo de Referência) e preencher os dados de currículo.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candidato(a) seja cadastrado como consultor do IICA, basta realizar o </w:t>
      </w:r>
      <w:proofErr w:type="spellStart"/>
      <w:r w:rsidRPr="00F75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Login</w:t>
      </w:r>
      <w:proofErr w:type="spellEnd"/>
      <w:r w:rsidRPr="00F752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pt-BR"/>
        </w:rPr>
        <w:t> </w:t>
      </w: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 sistema do IICA e optar por enviar o currículo para esta vaga.  </w:t>
      </w: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Não serão recebidos currículos por outros </w:t>
      </w:r>
      <w:proofErr w:type="spellStart"/>
      <w:proofErr w:type="gramStart"/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meios.</w:t>
      </w: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Caberá</w:t>
      </w:r>
      <w:proofErr w:type="spellEnd"/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ao consultor explicitar, no currículo enviado, o atendimento aos requisitos desejados, com o período em meses de atuação em cada requisito.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Consultor(a) será responsável pelo pagamento de todos os encargos tributários, sociais e trabalhistas, referentes ao contrato, de acordo com as leis brasileiras que regem a contratação de autônomo.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Não será proporcionado </w:t>
      </w: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ao(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Consultor(a), seguro social (INSS), por acidentes de trabalho, de saúde, de acidentes ou de vida, nem lhe serão concedidas férias, licença por enfermidade ou qualquer outro emolumento durante a vigência do Contrato.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proofErr w:type="gramStart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O(</w:t>
      </w:r>
      <w:proofErr w:type="gramEnd"/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A) Consultor(a) deverá executar as atividades constantes neste Termo de Referência de acordo com os mais elevados padrões de competência e integridade profissional e ética.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Ao preencher o currículo, o candidato deverá descrever minuciosamente as experiências profissionais e se atentar para a precisão no emprego das palavras, de forma a deixar claras as atividades desempenhadas e os níveis de conhecimento e experiência em relação aos critérios de avaliação previstos no Edital. É recomendável especificar, por exemplo, para cada experiência, a data completa de início e fim, o tipo de vínculo, a instituição demandante ou à qual estava vinculada, o nome ou descrição dos projetos envolvidos, as atividades desenvolvidas e quaisquer outras informações que o candidato achar relevante para a sua avaliação. Devem constar como experiências separadas diferentes funções que o candidato exercer em uma mesma instituição.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No que se refere à formação acadêmica, o candidato deverá informar os cursos realizados, data de início e término e o nível do curso. Além disso, deverá incluir no campo de informações relevantes os temas da monografia, dissertação e tese, quando houver.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 informações prestadas devem ser relevantes para a consultoria que está sendo contratada.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Eventualmente poderão ser solicitados, por e-mail, esclarecimentos adicionais quanto à experiência profissional e acadêmica dos candidatos.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solicitado ao consultor selecionado comprovar, antes de sua contratação, experiência profissional e acadêmica dos requisitos nos quais foi pontuado.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No caso de experiência laboral, serão aceitos atestados tais como: declaração do empregador com a descrição da atividade e sua duração e/ ou a cópia de publicação de portarias de nomeação em diários oficiais (municipais, estaduais ou da União). No caso de publicações, a comprovação será feita pela cópia da capa e sumário do volume em questão, acompanhado da cópia da ficha catalográfica em que conste o ISBN ou o ISSN pertinente. No caso de processos de formação, a comprovação será feita </w:t>
      </w: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lastRenderedPageBreak/>
        <w:t>pela cópia do diploma ou certificado em questão. Para a comprovação de títulos de pós-graduação, na impossibilidade de apresentação da cópia dos diplomas correspondentes, será aceita, alternativamente, cópia da ata de defesa do trabalho final (monografia, dissertação ou tese, conforme o nível) acompanhada do respectivo histórico escolar.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FONTE DE RECURSOS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Os recursos para pagamento do Contrato de Prestação de Serviços regulamentado por este Termo de Referência são oriundos do MC, alocados ao Projeto de Cooperação Técnica BRA/IICA/17/001 “SEGURANÇA ALIMENTAR E NUTRICIONAL: A disponibilidade e o acesso a alimentos saudáveis e o combate à pobreza rural”.</w:t>
      </w:r>
    </w:p>
    <w:p w:rsidR="00FE5CF8" w:rsidRPr="00F752B2" w:rsidRDefault="00FE5CF8" w:rsidP="00FE5CF8">
      <w:pPr>
        <w:pStyle w:val="PargrafodaLista"/>
        <w:numPr>
          <w:ilvl w:val="0"/>
          <w:numId w:val="3"/>
        </w:numPr>
        <w:spacing w:before="120" w:after="12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75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PROCEDIMENTO DE CONTRATAÇÃO</w:t>
      </w:r>
    </w:p>
    <w:p w:rsidR="00FE5CF8" w:rsidRPr="00FE5CF8" w:rsidRDefault="00FE5CF8" w:rsidP="00FE5CF8">
      <w:pPr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candidato aprovado no processo seletivo deverá realizar os seguintes passos, quando solicitado pela Coordenação do Projeto:</w:t>
      </w:r>
    </w:p>
    <w:p w:rsidR="00FE5CF8" w:rsidRPr="00FE5CF8" w:rsidRDefault="00FE5CF8" w:rsidP="00FE5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Preencher a Ficha Cadastral do IICA que será enviada pelo Projeto;</w:t>
      </w:r>
    </w:p>
    <w:p w:rsidR="00FE5CF8" w:rsidRPr="00FE5CF8" w:rsidRDefault="00FE5CF8" w:rsidP="00FE5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Apresentar/Encaminhar os seguintes documentos solicitados:</w:t>
      </w:r>
    </w:p>
    <w:p w:rsidR="00FE5CF8" w:rsidRPr="00FE5CF8" w:rsidRDefault="00FE5CF8" w:rsidP="00FE5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Original ou cópia autenticada dos diplomas de formação acadêmica e comprovantes de experiências profissionais;</w:t>
      </w:r>
    </w:p>
    <w:p w:rsidR="00FE5CF8" w:rsidRPr="00FE5CF8" w:rsidRDefault="00FE5CF8" w:rsidP="00FE5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 Projeto encaminhará ao Escritório do IICA no Brasil a solicitação para a contratação do consultor, que receberá as vias do contrato para assinatura e devolução posterior.</w:t>
      </w:r>
    </w:p>
    <w:p w:rsidR="00FE5CF8" w:rsidRPr="00FE5CF8" w:rsidRDefault="00FE5CF8" w:rsidP="00FE5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Cópia de CPF, RG (que contenha o número do CPF) e ou identidade profissional;</w:t>
      </w:r>
    </w:p>
    <w:p w:rsidR="00FE5CF8" w:rsidRPr="00FE5CF8" w:rsidRDefault="00FE5CF8" w:rsidP="00FE5C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Comprovante de inscrição na Previdência Social como autônomo.</w:t>
      </w:r>
    </w:p>
    <w:p w:rsidR="00FE5CF8" w:rsidRPr="00FE5CF8" w:rsidRDefault="00FE5CF8" w:rsidP="00FE5CF8">
      <w:pPr>
        <w:spacing w:before="120" w:after="120" w:line="240" w:lineRule="auto"/>
        <w:ind w:left="120" w:right="120" w:firstLine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E5CF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Coordenação do Projeto encaminhará ao Escritório do IICA no Brasil a solicitação para a contratação do consultor, que receberá as vias do contrato para assinatura e devolução posterior.</w:t>
      </w:r>
    </w:p>
    <w:p w:rsidR="001224CA" w:rsidRPr="00F752B2" w:rsidRDefault="001224CA">
      <w:pPr>
        <w:rPr>
          <w:rFonts w:ascii="Times New Roman" w:hAnsi="Times New Roman" w:cs="Times New Roman"/>
          <w:sz w:val="24"/>
          <w:szCs w:val="24"/>
        </w:rPr>
      </w:pPr>
    </w:p>
    <w:sectPr w:rsidR="001224CA" w:rsidRPr="00F75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1D4ACD"/>
    <w:multiLevelType w:val="multilevel"/>
    <w:tmpl w:val="17CA0D20"/>
    <w:lvl w:ilvl="0">
      <w:start w:val="1"/>
      <w:numFmt w:val="decimal"/>
      <w:lvlText w:val="%1."/>
      <w:lvlJc w:val="left"/>
      <w:pPr>
        <w:ind w:left="4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0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2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56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80" w:hanging="2160"/>
      </w:pPr>
      <w:rPr>
        <w:rFonts w:hint="default"/>
        <w:b/>
      </w:rPr>
    </w:lvl>
  </w:abstractNum>
  <w:abstractNum w:abstractNumId="1" w15:restartNumberingAfterBreak="0">
    <w:nsid w:val="1CA04C0D"/>
    <w:multiLevelType w:val="multilevel"/>
    <w:tmpl w:val="A1F6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50273C"/>
    <w:multiLevelType w:val="multilevel"/>
    <w:tmpl w:val="C4E8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F8"/>
    <w:rsid w:val="001224CA"/>
    <w:rsid w:val="00283141"/>
    <w:rsid w:val="00965CE2"/>
    <w:rsid w:val="00F752B2"/>
    <w:rsid w:val="00FE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95471-4B7E-4D62-A0AD-DEDB7525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scespacamentosimples">
    <w:name w:val="texto_centralizado_maisc_espacamentosimples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E5CF8"/>
    <w:rPr>
      <w:b/>
      <w:bCs/>
    </w:rPr>
  </w:style>
  <w:style w:type="paragraph" w:customStyle="1" w:styleId="tabelatextojustificado">
    <w:name w:val="tabela_texto_justificado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tramenor">
    <w:name w:val="letra_menor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1">
    <w:name w:val="paragrafo_numerado_nivel1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justificadorecuoprimeiralinhaespsimples">
    <w:name w:val="texto_justificado_recuo_primeira_linha_espsimples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camentosimplesmaiusc">
    <w:name w:val="texto_alinhado_esquerda_espacamento_simples_maiusc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E5CF8"/>
    <w:rPr>
      <w:color w:val="0000FF"/>
      <w:u w:val="single"/>
    </w:rPr>
  </w:style>
  <w:style w:type="paragraph" w:customStyle="1" w:styleId="tabelatextocentralizado">
    <w:name w:val="tabela_texto_centralizado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agrafonumeradonivel2">
    <w:name w:val="paragrafo_numerado_nivel2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temalinealetra">
    <w:name w:val="item_alinea_letra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FE5CF8"/>
    <w:rPr>
      <w:i/>
      <w:iCs/>
    </w:rPr>
  </w:style>
  <w:style w:type="paragraph" w:customStyle="1" w:styleId="textojustificadorecuoprimeiralinha">
    <w:name w:val="texto_justificado_recuo_primeira_linha"/>
    <w:basedOn w:val="Normal"/>
    <w:rsid w:val="00FE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E5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ica.int/pt/content/pessoa-f%C3%ADs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ica.int/pt/content/pessoa-f&#237;sica" TargetMode="External"/><Relationship Id="rId5" Type="http://schemas.openxmlformats.org/officeDocument/2006/relationships/hyperlink" Target="http://www.iicabr.iica.org.br/publicacoes/manual-par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4093</Words>
  <Characters>22106</Characters>
  <Application>Microsoft Office Word</Application>
  <DocSecurity>0</DocSecurity>
  <Lines>184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Lucelena de Lima Almeida</dc:creator>
  <cp:keywords/>
  <dc:description/>
  <cp:lastModifiedBy>Lucelena de Lima Almeida</cp:lastModifiedBy>
  <cp:revision>2</cp:revision>
  <dcterms:created xsi:type="dcterms:W3CDTF">2019-02-22T14:57:00Z</dcterms:created>
  <dcterms:modified xsi:type="dcterms:W3CDTF">2019-02-22T14:57:00Z</dcterms:modified>
</cp:coreProperties>
</file>