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bookmarkStart w:id="0" w:name="_GoBack"/>
      <w:bookmarkEnd w:id="0"/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 xml:space="preserve">MINISTÉRIO </w:t>
      </w:r>
      <w:r w:rsidR="00885D94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da cidadania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COMISSÃO TÉCNICA PORTARIA Nº 103/SESAN/2018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 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COMISSÃO TÉCNICA PORTARIA Nº 103/SESAN/2018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 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 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CONTRATAÇÃO DE CONSULTOR INDIVIDUAL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MODALIDADE PRODUTO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IICA BRA/IICA/17/001</w:t>
      </w:r>
    </w:p>
    <w:p w:rsidR="004C423F" w:rsidRPr="004C423F" w:rsidRDefault="004C423F" w:rsidP="004C423F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4C423F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265"/>
        <w:gridCol w:w="3810"/>
      </w:tblGrid>
      <w:tr w:rsidR="004C423F" w:rsidRPr="004C423F" w:rsidTr="004C423F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da Ação no Planejamento da Secretaria</w:t>
            </w:r>
          </w:p>
        </w:tc>
        <w:tc>
          <w:tcPr>
            <w:tcW w:w="6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11/2018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 do PRODOC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3.2.C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Descrição: Realizar estudo de avaliação do potencial de indicação geográfica (IG) de produtos de povos indígenas, comunidades quilombolas e extrativistas.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6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(uma)</w:t>
            </w:r>
          </w:p>
        </w:tc>
      </w:tr>
    </w:tbl>
    <w:p w:rsidR="004C423F" w:rsidRPr="004C423F" w:rsidRDefault="004C423F" w:rsidP="004C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42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OBJETIVO GERAL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Estruturar um processo de Marca Coletiva para o produto 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mel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 na Terra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Cocal e na Terra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Xocó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em conjunto com as comunidades indígenas beneficiárias e outros atores envolvidos na cadeia produtiva, tendo como resultado final o fortalecimento da cadeia produtiva e uma proposta de regulamento de utilização da marca.</w:t>
      </w:r>
    </w:p>
    <w:p w:rsidR="004C423F" w:rsidRPr="004C423F" w:rsidRDefault="004C423F" w:rsidP="004C423F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ENQUADRAMENTO DA CONTRATAÇÃO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contratação será realizada por meio do Projeto de Cooperação Técnica Internacional com o IICA - Projeto BRA/IICA/17/001 - "Segurança alimentar e nutricional: a disponibilidade e o acesso a alimentos saudáveis e o combate à pobreza rural".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objetivo geral desse projeto é "Contribuir para a promoção do abastecimento e acesso da população brasileira à alimentação adequada e saudável, à inclusão produtiva rural e à ampliação do acesso à água para a população pobre no meio rural e garantir a segurança alimentar e nutricional para toda a sociedade, inclusive povos e comunidades tradicionais".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âmbito do Projeto, a ação está enquadrada no Resultado 3.2, que visa “</w:t>
      </w: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Estratégias  de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aprimoramento e promoção de ações de inclusão produtiva rural, comércio de produtos da agricultura familiar e de povos e comunidades tradicionais, alimentação saudável, contendo análise e sugestões de aprimoramento do Sistema 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 xml:space="preserve">Nacional de Segurança Alimentar e Nutricional , entre outros, identificadas, organizadas e propostas”. Mais especificamente o a atividade C “Realizar estudo de avaliação do potencial de indicação geográfica (IG) de produtos de povos indígenas, comunidades quilombolas e </w:t>
      </w: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extrativistas.”</w:t>
      </w:r>
      <w:proofErr w:type="gramEnd"/>
    </w:p>
    <w:p w:rsidR="004C423F" w:rsidRPr="004C423F" w:rsidRDefault="004C423F" w:rsidP="004C423F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CONTEXTO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busca de agregação de valor aos produtos e a geração de renda para famílias de povos e comunidades tradicionais, em geral, e para os indígenas, em específico, é um desafio constante das políticas públicas.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uso de signos distintivos (SD), tais como as indicações geográficas (IG) e as marcas coletivas (MC), visam distinguir o produto de seus similares no mercado, evidenciando sua qualidade e tipicidade, relacionadas a uma determinada área geográfica e a uma coletividade, valorizando assim a sua origem. Sendo assim, esses signos contribuem para colocar em evidência atributos relacionados à cultura, à tradição, ao meio ambiente, ao saber-fazer local ou regional, os quais despertam a curiosidade e a percepção dos consumidores que buscam produtos diferenciados no mercado. Isso pode contribuir para a agregação de valor aos produtos, melhorando a renda das famílias, refletindo no aumento da autoestima dos produtores e, consequentemente, propiciando a melhoria da qualidade de vida das comunidades localizadas nos territórios.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São, portanto, os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SDs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iniciativas que estimulam o desenvolvimento territorial sustentável e fomentam a estruturação de produtos diferenciados, associados a valores simbólicos e a dinâmicas socioculturais locais, que buscam as suas próprias formas de inserção em um mercado dominado por produtos globalizados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estandartizados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Neste sentido, a partir de uma parceria entre o Ministério da Agricultura, Pecuária e Abastecimento (MAPA) e a Fundação Nacional do Índio (Funai) objetiva-se contribuir para a construção de uma Marca Coletiva que possa auxiliar os indígenas na proteção, diferenciação e promoção dos seus produtos, das suas organizações, da sua identidade e dos seus territórios.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presente Termo de Referência tem como foco a cadeia produtiva do mel dos indígenas das etnias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. O povo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-Cocal está localizado na zona da mata alagoana, a 8 Km do município de Joaquim Gomes e a 84 Km da capital Maceió, abrangendo os municípios de Joaquim Gomes, Colônia de Leopoldina, Novo Lino e Matriz de Camaragibe. Atualmente encontra-se com uma extensão de 11.842,0000 ha demarcados com uma população de 2.330 pessoas, distribuídos em quatro núcleos: Cocal, Pedrinhas, Fazenda Freitas e Serrinhas. O povo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vive nas aldeias Ilha de São Pedro e Caiçara, situadas no município de Porto da Folha, Sergipe. A maior parte da comunidade, cerca de 400 pessoas, habita a Ilha de São Pedro.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As famílias indígenas têm na apicultura uma de suas principais atividades. É uma atividade sustentável que gera renda, promove a alimentação saudável, preserva a biodiversidade e fortalece as associações existentes na comunidade, mitigando problemas de segurança alimentar e contribuindo para o incremento da renda familiar e a consequente melhoria da qualidade de vida dos indígenas de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-Cocal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 xml:space="preserve">A promoção de atividades produtivas, como a apicultura, possibilita a presença constante dos indígenas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em pontos estratégicos do território, favorecendo a proteção dos locais mais vulneráveis às invasões e, dessa forma, fortalece o processo de autodeterminação, autonomia e independência econômica e sustentável da comunidade. Conforme a liderança indígena Carlos Gomes: “A abelha é responsável por 70% da polinização, fornece o mel, dá dinheiro para a comunidade e ainda faz o trabalho de fiscalização do território, pois inibe as pessoas que gostam de agredir o meio ambiente”.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objeto desta contratação é tratar: a) do fortalecimento e estruturação sustentável da cadeia produtiva do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do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b) da estruturação da Marca Coletiva para 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do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com a construção participativa do regulamento de utilização da marca. Entende-se que esse signo distintivo pode ser utilizado como uma ferramenta para promover a identificação e o reconhecimento da forma tradicional, sustentável e de baixo impacto ambiental da apicultura indígena.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marca coletiva é um sinal distintivo usado para identificar produtos ou serviços provindos de membros de uma determinada entidade e os distinguir de outros idênticos ou semelhantes de entidades distintas. Trata-se de uma marca usada por muitos, mas que só pode ser requerida por uma pessoa jurídica representante da coletividade, como uma cooperativa, uma associação, ou outro grupo coletivo (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Belson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2002).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Todos os associados, cooperados, ou vinculados com aquele ente coletivo, desde que sigam o regulamento de uso da marca criado e fiscalizado por tal entidade, podem utilizar a marca para identificar que o seu produto tem origem naquela coletividade. Normalmente, a pessoa jurídica que representa a coletividade administra a entidade e comercializa o bem, enquanto os associados são os produtores daquele bem assinalado pela marca coletiva (Barbosa, 2013).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 Brasil, essas iniciativas são relativamente recentes e, no caso de produtos oriundos da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sociobiodiversidade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produzidos/manejados por Povos Indígenas e Povos e Comunidades Tradicionais, são ainda incipientes. Nesse sentido, a consultoria busca agregar valor e reconhecimento à cadeia produtiva do mel, manejado de forma tradicional e sustentável pelos indígenas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  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partir de uma construção conjunta com as comunidades que fazem parte dessa cadeia produtiva, deve ser apresentado um documento final, que é o regulamento de utilização, o qual deverá conter regras, normas e procedimentos da cadeia produtiva do mel, contemplando as diferentes fases da produção desde o trabalho de captura de enxames da abelha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Ápis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Mellífera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("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européia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africanizada"), a colocação em caixas racionais (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colméias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), o incentivo ao crescimento das famílias das abelhas, o acompanhamento das floradas, a troca dos favos velhos (a retirada da cera velha para a produção das ceras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alveoladas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), o acompanhamento das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melgueiras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e, quando estas estão cheias, a retirada do mel, a troca da rainha quando ela não é mais capaz de gerar a reprodução da colmeia, até o beneficiamento e comercialização, especificando os padrões (características) que o produto final deve ter para poder ser comercializado com a MC, além de tratar sobre sistema de controle da produção.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Com esse documento pronto e a cadeia estruturada, objetos dessa consultoria, as entidades representativas indígenas poderão, se assim o quiserem, entrar com o pedido de registro de marca coletiva no Instituto Nacional da Propriedade Industrial (INPI).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Sendo assim, justifica-se a contratação de 1 consultor dada a relevância do tema para promoção do desenvolvimento rural sustentável, inclusão produtiva e segurança alimentar e nutricional. Para tal, faz-se necessário contratar pessoa com habilidades específicas no diálogo com as comunidades tradicionais e facilitação na construção de iniciativas, ainda recentes, de construção/formulação do instrumento de Marca Coletiva para Povos Indígenas.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PRODUTOS E ATIVIDADES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âmbito desta consultoria, o consultor deverá realizar as seguintes atividades:</w:t>
      </w:r>
    </w:p>
    <w:p w:rsidR="004C423F" w:rsidRPr="004C423F" w:rsidRDefault="004C423F" w:rsidP="004C423F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consultoria deverá identificar, dentre os agentes da cadeia produtiva e técnicos, pessoas que detenham conhecimento sobre a região e sobre o processo produtivo da cadeia do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do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 Deverá promover a sensibilização desses atores para o uso da marca coletiva por meio de reuniões e oficinas a serem realizadas em cada região selecionada.</w:t>
      </w:r>
    </w:p>
    <w:p w:rsidR="004C423F" w:rsidRPr="004C423F" w:rsidRDefault="004C423F" w:rsidP="004C423F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Realizar levantamento bibliográfico sobre, principalmente, o processo de construção/estruturação de Marca Coletivas; a dinâmica da cadeia produtiva do mel indígena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Xokó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; estratégias de governança, divulgação e rastreabilidade de uma Marca Coletiva, entre outros.</w:t>
      </w:r>
    </w:p>
    <w:p w:rsidR="004C423F" w:rsidRPr="004C423F" w:rsidRDefault="004C423F" w:rsidP="004C423F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Participar de reuniões técnicas com representantes do MDS, MAPA e Funai, para discussão e construção conjunta com seus técnicos da metodologia e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conteúdos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 serem abordados nas oficinas junto às comunidades indígenas;</w:t>
      </w:r>
    </w:p>
    <w:p w:rsidR="004C423F" w:rsidRPr="004C423F" w:rsidRDefault="004C423F" w:rsidP="004C423F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Realizar reuniões/oficinas nas comunidades da TI 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fldChar w:fldCharType="begin"/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instrText xml:space="preserve"> HYPERLINK "http://www.funai.gov.br/terra_indigena_3/mapa/index.php?cod_ti=49701" \t "_blank" </w:instrTex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fldChar w:fldCharType="separate"/>
      </w:r>
      <w:r w:rsidRPr="004C423F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>Wassu</w:t>
      </w:r>
      <w:proofErr w:type="spellEnd"/>
      <w:r w:rsidRPr="004C423F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>-Cocal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fldChar w:fldCharType="end"/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e TI Ilha de São Pedro e Caiçara para construção participativa e conjunta do regulamento de utilização da Marca Coletiva para o Caranguejo-Uçá. Para a realização das Oficinas poderá contar com a colaboração e/ou participação de especialistas de instituições parceiras cedidos como contrapartida (MDS, MAPA, Funai e outras);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trabalho da consultoria correspondem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 4 (quatro) produtos, conforme descritos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Produto 1: Documento técnico contendo contextualização da cadeira produtiva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Wassu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Xokó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proposta inicial de governança da Marca Coletiva para esta cadeia.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Produto 2: Documento técnico contendo relatório com os resultados obtidos nas oficinas realizadas em conjunto com as comunidades, compradores e instituições acadêmicas, de pesquisa e de extensão envolvidas no plano de gestão ambiental e territorial para apresentar e discutir as propostas de governança e de estruturação </w:t>
            </w: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 xml:space="preserve">da Marca Coletiva da Cadeia Produtiva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Wassu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Xokó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 xml:space="preserve">Produto 3: Documento técnico contento proposta de rastreabilidade da cadeia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Wassu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Xokó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, proposta de canais alternativos de comercialização e de conteúdo para divulgação do produto.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Produto 4: Documento técnico contendo minuta do regulamento de utilização do mel aos moldes das normativas de registro de marca coletiva publicadas pelo Instituto Nacional da Propriedade Industrial - INPI</w:t>
            </w:r>
          </w:p>
        </w:tc>
      </w:tr>
    </w:tbl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6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FORMA DE APRESENTAÇÃO DOS PRODUTOS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deverá garantir que os serviços executados sejam realizados com qualidade, atendendo a todas as especificações e no prazo estabelecido neste termo de referência.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deverá seguir as orientações do supervisor da consultoria e submeter os produtos para sua apreciação e aprovação em tempo hábil para que seja possível a realização de ajustes que venham ser necessários dentro do prazo da entrega do produto.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produto entregue pelo consultor, aprovado pelo supervisor do contrato, deve ser enviado via e-mail em formato PDF e Word (".DOC" - versão 2010 ou similar) certificado pelo consultor através da Declaração de Autoria de Produto via Sistema Eletrônico de Informações – SEI, e 1 via física com todas as páginas rubricadas.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Não serão aceitos produtos que apresentem mera reprodução de conteúdo da internet ou livros de outros autores sem os créditos devidos ou ainda sem que tais conteúdos sejam minimamente tratados/analisados pelo consultor.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Não serão aceitos produtos que apresentem textos já escritos pelo consultor em outros produtos ou publicações sem referência a eles. O produto elaborado requer ineditismo.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produtos serão pagos após a aprovação pelo supervisor do contrato, pelo Diretor Nacional de Projetos e Supervisor do Projeto no IICA.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estrutura dos Produtos deverão estar em conformidade com o “Manual para apresentação de relatórios técnicos, produtos e consultoria (IICA)” – março de 2009, que poderá ser obtido no seguinte endereço eletrônico </w:t>
      </w:r>
      <w:hyperlink r:id="rId5" w:tgtFrame="_blank" w:history="1">
        <w:r w:rsidRPr="004C423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www.iicabr.iica.org.br/publicacoes/manual-para</w:t>
        </w:r>
      </w:hyperlink>
      <w:r w:rsidRPr="004C423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-apresentacao-de-relatorios-tecnicos-produtos-e-consultoria.</w:t>
      </w:r>
    </w:p>
    <w:p w:rsidR="004C423F" w:rsidRPr="004C423F" w:rsidRDefault="004C423F" w:rsidP="004C423F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CRONOGRAMA DE EXECUÇÃO E DURAÇÃO DA CONSULTORIA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duração dos serviços de consultoria será de 12 (doze) meses, a contar da assinatura do Contrato, e a entrega dos produtos ao longo desse período será́ realizada conforme o cronograma expresso na Tabela 1.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Tabela 1: Cronograma de entrega dos produtos e respectivo percentual de remuneração.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1668"/>
        <w:gridCol w:w="1644"/>
        <w:gridCol w:w="1264"/>
      </w:tblGrid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lastRenderedPageBreak/>
              <w:t>Produtos esperados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Cronograma de entrega</w:t>
            </w:r>
          </w:p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(dias acumulados contados a partir da data de assinatura do Contrato)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Percentual de remuneração</w:t>
            </w:r>
          </w:p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Valor do produto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Produto 01 – Documento técnico contendo    contextualização da cadeira produtiva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Wassu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Xokó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proposta inicial de governança da Marca Coletiva para esta cadeia.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Até 60 dias após a assinatura do contrato.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R$ 12.495,00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Produto 02 – Documento técnico contendo relatório com os resultados obtidos nas oficinas realizadas em conjunto com as comunidades, compradores e instituições acadêmicas, de pesquisa e de extensão envolvidas no plano de gestão ambiental e territorial para apresentar e discutir as propostas de governança e de estruturação da Marca Coletiva da Cadeia Produtiva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Wassu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Xokó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Até 120 dias após a assinatura do contrato.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R$ 16.660,00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Produto 03 – Documento técnico contento proposta de rastreabilidade da cadeia do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Wassu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mel indígena </w:t>
            </w:r>
            <w:proofErr w:type="spellStart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Xokó</w:t>
            </w:r>
            <w:proofErr w:type="spellEnd"/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, proposta de canais alternativos de comercialização e de conteúdo para divulgação do produto.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Até 200 dias após a assinatura do contrato.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 </w:t>
            </w:r>
          </w:p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R$ 20.825,00</w:t>
            </w:r>
          </w:p>
        </w:tc>
      </w:tr>
      <w:tr w:rsidR="004C423F" w:rsidRPr="004C423F" w:rsidTr="004C42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Produto 04 - Documento técnico contendo minuta do regulamento de utilização do mel aos moldes das normativas de registro de marca coletiva publicadas pelo Instituto Nacional da Propriedade Industrial – INPI.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Até 360 dias após a assinatura do contrato.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R$ 33.320,00</w:t>
            </w:r>
          </w:p>
        </w:tc>
      </w:tr>
    </w:tbl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lastRenderedPageBreak/>
        <w:t>CUSTO TOTAL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custo total da consultoria é de R$ 83.300,00 (oitenta e três mil e trezentos reais), sendo destinados ao pagamento de dos produtos, cumpridas as obrigações contratuais.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serviços serão remunerados em moeda nacional corrente, de acordo com a entrega dos produtos, uma vez aprovados pelo Supervisor do Contrato, pelo Diretor Nacional de Projetos e Supervisor do Projeto no IICA.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9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INSUMOS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custos de deslocamento, alimentação e hospedagem em viagens consideradas essenciais para a execução das atividades previstas neste Termo de Referência</w:t>
      </w:r>
      <w:r>
        <w:rPr>
          <w:color w:val="000000"/>
          <w:lang w:eastAsia="pt-BR"/>
        </w:rPr>
        <w:t xml:space="preserve"> serão custeados pelo Projeto de Cooperação Técnica BRA/IICA/17/001 “SEGURANÇA ALIMENTAR E NUTRICIONAL - MDS”. A SE</w:t>
      </w:r>
      <w:r w:rsidR="00F75BF8">
        <w:rPr>
          <w:color w:val="000000"/>
          <w:lang w:eastAsia="pt-BR"/>
        </w:rPr>
        <w:t>ISP</w:t>
      </w:r>
      <w:r>
        <w:rPr>
          <w:color w:val="000000"/>
          <w:lang w:eastAsia="pt-BR"/>
        </w:rPr>
        <w:t>/M</w:t>
      </w:r>
      <w:r w:rsidR="00F75BF8">
        <w:rPr>
          <w:color w:val="000000"/>
          <w:lang w:eastAsia="pt-BR"/>
        </w:rPr>
        <w:t>cid</w:t>
      </w:r>
      <w:r>
        <w:rPr>
          <w:color w:val="000000"/>
          <w:lang w:eastAsia="pt-BR"/>
        </w:rPr>
        <w:t xml:space="preserve"> disponibilizará documentos, materiais e insumos que julgar necessário para a execução da consultoria.</w:t>
      </w:r>
      <w:r>
        <w:rPr>
          <w:color w:val="000000"/>
          <w:lang w:eastAsia="pt-BR"/>
        </w:rPr>
        <w:br/>
      </w:r>
    </w:p>
    <w:p w:rsidR="004C423F" w:rsidRPr="004C423F" w:rsidRDefault="004C423F" w:rsidP="004C423F">
      <w:pPr>
        <w:numPr>
          <w:ilvl w:val="0"/>
          <w:numId w:val="10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LOCALIZAÇÃO DA CONSULTORIA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Local de residência do consultor. Os custos com deslocamento nos trechos referentes ao local de origem/Brasília/origem poderão ser arcados pelo Projeto. Além disso, sendo necessário o consultor poderá realizar viagens que contribuam para a elaboração dos produtos.</w:t>
      </w:r>
    </w:p>
    <w:p w:rsidR="004C423F" w:rsidRPr="004C423F" w:rsidRDefault="004C423F" w:rsidP="004C423F">
      <w:pPr>
        <w:numPr>
          <w:ilvl w:val="0"/>
          <w:numId w:val="1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QUALIFICAÇÃO MÍNIMA DA CONSULTORIA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Poderão participar da seleção, profissionais que tenham, no mínimo, a qualificação descrita abaixo, que será verificada mediante aplicação dos critérios de avaliação distribuídos entre formação acadêmica e experiência profissional, respectivamente 30% e 70% dos pontos totais: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Requisitos obrigatórios:</w:t>
      </w:r>
    </w:p>
    <w:p w:rsidR="004C423F" w:rsidRPr="004C423F" w:rsidRDefault="004C423F" w:rsidP="004C423F">
      <w:pPr>
        <w:numPr>
          <w:ilvl w:val="0"/>
          <w:numId w:val="1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Formação acadêmica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Especialização e/ou Mestrado na área de Ciências Humanas, Ciências Sociais Aplicadas, Ciências Agrárias, Ciências Biológicas ou Interdisciplinar, conforme Tabela de Áreas de Conhecimento da Capes, com diploma reconhecido pelo MEC.</w:t>
      </w:r>
    </w:p>
    <w:p w:rsidR="004C423F" w:rsidRPr="004C423F" w:rsidRDefault="004C423F" w:rsidP="004C423F">
      <w:pPr>
        <w:numPr>
          <w:ilvl w:val="0"/>
          <w:numId w:val="1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Experiência profissional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Experiência mínima de 3 (três) anos de trabalho com inclusão produtiva para povos indígenas e/ou povos e comunidades tradicionais.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1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Outros critérios de avaliação: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Qualificação/Experiência Profissional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com facilitação de oficinas participativas;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com associativismo e/ou cooperativismo;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com elaboração, implementação e/ou execução de atividades relacionadas inclusão produtiva rural, inserção no mercado e/ou comercialização;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- Experiência acadêmica e/ou profissional com a temática de selos distintivos;</w:t>
      </w:r>
    </w:p>
    <w:p w:rsidR="004C423F" w:rsidRPr="004C423F" w:rsidRDefault="004C423F" w:rsidP="004C423F">
      <w:pPr>
        <w:numPr>
          <w:ilvl w:val="0"/>
          <w:numId w:val="1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MÉTODO DE SELEÇÃO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seleção tem como fundamento legal o Decreto nº 5.151, de 22 de julho de 2004 e a Portaria MRE nº 8, de 4 de janeiro de 2017.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11.1. RECEBIMENTO DOS CURRÍCULOS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5A668C" w:rsidRPr="005A668C" w:rsidRDefault="004C423F" w:rsidP="005A668C">
      <w:pPr>
        <w:spacing w:after="240"/>
        <w:rPr>
          <w:rFonts w:ascii="Calibri" w:hAnsi="Calibri"/>
          <w:color w:val="000000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Os currículos deverão </w:t>
      </w:r>
      <w:r w:rsidR="005A668C" w:rsidRPr="005A668C">
        <w:rPr>
          <w:rFonts w:ascii="Calibri" w:hAnsi="Calibri"/>
          <w:color w:val="000000"/>
          <w:lang w:eastAsia="pt-BR"/>
        </w:rPr>
        <w:t>anexados, obrigatoriamente, no momento do cadastro, no site do Instituto Interamericano de Cooperação para a Agricultura – IICA  (</w:t>
      </w:r>
      <w:hyperlink r:id="rId6" w:history="1">
        <w:r w:rsidR="005A668C" w:rsidRPr="005A668C">
          <w:rPr>
            <w:rStyle w:val="Hyperlink"/>
            <w:rFonts w:ascii="Calibri" w:hAnsi="Calibri"/>
            <w:lang w:eastAsia="pt-BR"/>
          </w:rPr>
          <w:t>http://www.iica.int/pt/content/pessoa-física</w:t>
        </w:r>
      </w:hyperlink>
      <w:r w:rsidR="005A668C" w:rsidRPr="005A668C">
        <w:rPr>
          <w:rFonts w:ascii="Calibri" w:hAnsi="Calibri"/>
          <w:color w:val="000000"/>
          <w:lang w:eastAsia="pt-BR"/>
        </w:rPr>
        <w:t>) em “Oportunidades”, “Pessoa Física”, após cadastra-se é necessário clicar em “Desejo participar” no processo seletivo onde está inserido este termo de referência.  Solicita-se especial atenção no que se refere ao preenchimento das informações sobre os critérios solicitados neste Termo de Referência.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11.2 ANÁLISE CURRICULAR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Comissão de Avaliação definirá </w:t>
      </w: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candidato(a) melhor qualificado(a) nesse certame com base na análise de currículo. A comprovação documental das informações curriculares é parte integrante do processo.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     O perfil requerido e a capacidade do especialista serão aferidos com base no currículo acadêmico apresentado e na experiência profissional. As qualificações profissionais exigidas têm caráter eliminatório e haverá pontuação classificatória para seleção.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     A análise curricular ocorre em duas fases:</w:t>
      </w:r>
    </w:p>
    <w:p w:rsidR="004C423F" w:rsidRPr="004C423F" w:rsidRDefault="004C423F" w:rsidP="004C423F">
      <w:pPr>
        <w:numPr>
          <w:ilvl w:val="0"/>
          <w:numId w:val="15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1ª Fase – Nesta fase, os currículos dos candidatos serão analisados para verificação do cumprimento dos requisitos obrigatórios (e, portanto, eliminatórios), de acordo com as qualificações profissionais 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obrigatórias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de formação acadêmica e experiência profissional obrigatórios informadas no item 10 deste Termo de Referência.</w:t>
      </w:r>
    </w:p>
    <w:p w:rsidR="004C423F" w:rsidRPr="004C423F" w:rsidRDefault="004C423F" w:rsidP="004C423F">
      <w:pPr>
        <w:numPr>
          <w:ilvl w:val="0"/>
          <w:numId w:val="16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2ª Fase – Nesta fase, serão pontuados, exclusivamente, os currículos válidos, ou seja, aqueles que obtiverem resposta “SIM” em todos os requisitos obrigatórios. A pontuação será o resultado da análise dos critérios de formação acadêmica e experiência profissional informadas no item 10 deste Termo de Referência, conforme a tabela abaixo: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273"/>
      </w:tblGrid>
      <w:tr w:rsidR="004C423F" w:rsidRPr="004C423F" w:rsidTr="004C42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CRITÉRIOS DE 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4C423F" w:rsidRPr="004C423F" w:rsidTr="004C42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Especialização e/ou Mestrado na área de Ciências Humanas, Ciências Sociais Aplicadas, Ciências Agrárias, Ciências Biológicas ou Interdisciplinar, conforme Tabela de Áreas de Conhecimento da Capes, com diploma reconhecido pelo MEC.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Até 30 pontos</w:t>
            </w:r>
          </w:p>
        </w:tc>
      </w:tr>
    </w:tbl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tbl>
      <w:tblPr>
        <w:tblW w:w="85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1338"/>
      </w:tblGrid>
      <w:tr w:rsidR="004C423F" w:rsidRPr="004C423F" w:rsidTr="004C423F">
        <w:trPr>
          <w:trHeight w:val="440"/>
          <w:tblCellSpacing w:w="7" w:type="dxa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lastRenderedPageBreak/>
              <w:t>CRITÉRIOS DE EXPERIÊNCIA PROFISSIONAL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4C423F" w:rsidRPr="004C423F" w:rsidTr="004C423F">
        <w:trPr>
          <w:trHeight w:val="685"/>
          <w:tblCellSpacing w:w="7" w:type="dxa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 mínima de 3 (três) anos de trabalho com inclusão produtiva para povos indígenas e/ou povos e comunidades tradicionais.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Até 70  pontos</w:t>
            </w:r>
          </w:p>
        </w:tc>
      </w:tr>
      <w:tr w:rsidR="004C423F" w:rsidRPr="004C423F" w:rsidTr="004C423F">
        <w:trPr>
          <w:trHeight w:val="440"/>
          <w:tblCellSpacing w:w="7" w:type="dxa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 com facilitação de oficinas participativas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C423F" w:rsidRPr="004C423F" w:rsidTr="004C423F">
        <w:trPr>
          <w:trHeight w:val="453"/>
          <w:tblCellSpacing w:w="7" w:type="dxa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 com associativismo e/ou cooperativismo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C423F" w:rsidRPr="004C423F" w:rsidTr="004C423F">
        <w:trPr>
          <w:trHeight w:val="685"/>
          <w:tblCellSpacing w:w="7" w:type="dxa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 com elaboração, implementação e/ou execução de atividades relacionadas inclusão produtiva rural, inserção no mercado e/ou comercialização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C423F" w:rsidRPr="004C423F" w:rsidTr="004C423F">
        <w:trPr>
          <w:trHeight w:val="440"/>
          <w:tblCellSpacing w:w="7" w:type="dxa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C423F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 acadêmica e/ou profissional com a temática de selos distintivos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23F" w:rsidRPr="004C423F" w:rsidRDefault="004C423F" w:rsidP="004C42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  <w:r w:rsidR="005A668C">
        <w:rPr>
          <w:rFonts w:ascii="Times New Roman" w:hAnsi="Times New Roman"/>
          <w:color w:val="000000"/>
          <w:sz w:val="24"/>
          <w:szCs w:val="24"/>
          <w:lang w:eastAsia="pt-BR"/>
        </w:rPr>
        <w:t>As pontuações serão distribuídas entre os critérios de formação acadêmica e de experiência profissional de acordo com critérios objetivos pré-estabelecidos pela Comissão Técnica de Seleção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Serão classificados candidatos que obtiverem no mínimo 60 pontos.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11.3.  APRESENTAÇÃO DA DOCUMENTAÇÃO COMPROBATÓRIA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Será solicitado ao candidato com maior pontuação na soma dos pontos obtidos na análise curricular a apresentação de cópias autenticadas dos documentos declarados no currículo, a serem listados pela Comissão Técnica de Seleção, no o prazo de até 5 dias úteis. </w:t>
      </w:r>
      <w:r w:rsidR="005A668C">
        <w:rPr>
          <w:color w:val="000000"/>
          <w:lang w:eastAsia="pt-BR"/>
        </w:rPr>
        <w:t>O candidato que não apresentar os documentos solicitados no prazo estipulado, será automaticamente desclassificado. Diante disso, caso ocorra, será convocado o candidato que obter a segunda maior pontuação ou elegível para a apresentação dos documentos e assim sucessivamente.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Após a apresentação de toda a documentação, e previamente à contratação, será convocada uma Reunião de Negociação para Contratação, na qual serão discutidos o Termo de Referência, plano de trabalho, a metodologia, insumos (viagens, material, </w:t>
      </w:r>
      <w:proofErr w:type="spell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etc</w:t>
      </w:r>
      <w:proofErr w:type="spell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), método de coleta de dados e condições do contrato, etc. A reunião ocorrerá na presença do candidato, dos 3 membros da Comissão Técnica de Seleção e de um membro da equipe da Diretoria de Cooperação Técnica, e poderá ser feita por áudio ou videoconferência caso o consultor não resida em Brasília.</w:t>
      </w:r>
    </w:p>
    <w:p w:rsidR="004C423F" w:rsidRPr="004C423F" w:rsidRDefault="004C423F" w:rsidP="004C423F">
      <w:pPr>
        <w:numPr>
          <w:ilvl w:val="0"/>
          <w:numId w:val="17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Restrições para contratação de servidores públicos, professores federais e bolsistas.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Segundo Decreto 5.151/2004, não pode ser contratado servidor avo, ainda que licenciado, da administração pública federal, do Distrito Federal, dos estados e municípios, direta ou indireta, bem como de empregado de suas subsidiárias e controladas. O candidato também não deve pertencer ao quadro funcional das instituições de ensino superior qualificadas para atuar enquanto agências implementadoras. Durante a vigência da Lei de Diretrizes Orçamentárias – LDO 2018 é 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permitida a contratação de servidores públicos que se encontrem em licença sem remuneração para tratar de interesses particular.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Ainda, durante a vigência da Lei de Diretrizes Orçamentárias – LDO 2018 é permitida a contratação de professor de Universidades, inclusive os de dedicação exclusiva, para realização de pesquisas e estudos de excelência, desde que: haja declaração do chefe imediato e do dirigente máximo do órgão de origem de inexistência de incompatibilidade de horários e de comprometimento das atividades atribuídas. Os projetos de pesquisas e estudos devem ser aprovados pelo dirigente máximo do órgão ou da entidade ao qual esteja vinculado o professor.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Em conformidade com o artigo 1º da Portaria conjunta CAPES/CNPq nº 1, de 15 de julho de 2010, o bolsista de instituição federal (CNPQ e CAPES) pode exercer função de consultoria em projetos de cooperação técnica internacional, desde que relacionada à sua área de atuação e de interesse para sua formação acadêmica, cientifica e tecnológica, sendo necessária a autorização do orientador, devidamente informada à coordenação do curso ou programa de pós-graduação em que estiver matriculado e registrado no Cadastro Discente da CAPES.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Conforme a Lei nº 12.813/2013, que dispõe sobre o conflito de interesses no exercício de cargo ou emprego do Poder Público Executivo federal e impedimentos posteriores ao exercício do cargo ou emprego, configura conflito de interesses após o exercício de cargo ou emprego no âmbito do Poder Executivo federal (alínea c, inciso II do artigo 6º):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...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período de 6(seis) meses, contado da data da dispensa, exoneração, destituição, demissão ou aposentadoria, salvo quando expressamente autorizado, conforme o caso, pela Comissão de Ética Pública ou pela Controladoria-Geral da União: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...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c)celebrar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com órgãos ou entidades do Poder Executivo federal contratos de serviço, consultoria assessoramento ou atividades similares, vinculados, ainda que indiretamente, ao órgão ou entidade em que tenha ocupado o cargo ou emprego;...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autorização da contratação pela CGU deverá dar-se nos termos da Portaria Interministerial nº 333/2013 e da Portaria 351/2014 do MDS.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Ainda, nos termos da Lei n° 12.813/13, o candidato deve informar no currículo a informação sobre parentesco com servido</w:t>
      </w:r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 ou </w:t>
      </w:r>
      <w:proofErr w:type="spellStart"/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ex-servidor</w:t>
      </w:r>
      <w:proofErr w:type="spellEnd"/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do Ministério Da Cidadania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 Caso haja parentesco, previamente à contratação, deverá haver consulta à Comissão de Ética sobre possível risco de conflito de interesse.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É vedada a contratação de candidato que tenha participado, mesmo que pontualmente, dos trabalhos de concepção, construção, autorização ou publicação do edital em questão.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1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SUPERVISÃO E ACOMPANHAMENTO DA CONSULTORIA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acompanhamento dos trabalhos será de r</w:t>
      </w:r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esponsabilidade do Ministério </w:t>
      </w:r>
      <w:proofErr w:type="gramStart"/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 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Cidadania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por meio da Secretaria Nacional de </w:t>
      </w:r>
      <w:r w:rsidR="005A668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Inclusão Produtiva Rural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sob gestão do Diretor do Fomento à Produção e à Estruturação Produtiva – DEFEP.  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14</w:t>
      </w: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. PROPRIEDADES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Todas as peças (estudos, relatórios, pesquisas, informações ou outros materiais, incluindo gráficos, arquivos, documentos e dados eletrônicos) produzidas pelo contratado, fruto deste Termo de Referência, inclusive originais e arquivos em meio digital, independente dos meios de informação em que se encontrem produzido pelo Contratado sob este contrato, deverão ser entregues antes da data de término do contrato e pertencerão exclusivamente à contratante.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Contratado(a) não poderá fazer uso das informações produzidas por ele relativas aos produtos, a não ser que, expressamente, seja acordado entre as partes e devidamente registrado no Contrato.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conjunto das peças citadas anteriormente será incorporado ao acervo do MDS, podendo ainda ser publicado posteriormente conforme a vontade da contratante.</w:t>
      </w:r>
    </w:p>
    <w:p w:rsidR="004C423F" w:rsidRPr="004C423F" w:rsidRDefault="004C423F" w:rsidP="004C423F">
      <w:pPr>
        <w:numPr>
          <w:ilvl w:val="0"/>
          <w:numId w:val="19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CONSIDERAÇÕES GERAIS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candidato(a) interessado, caso ainda não tenha cadastro como consultor do IICA, deve cadastrar-se em &lt;</w:t>
      </w: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www.iicabr.iica.org.br/pessoa-física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/&gt;, em “Oportunidades”, “Pessoa Física”, selecionando esta vaga desejada (Termo de Referência) e preencher os dados de currículo.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Caso </w:t>
      </w: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candidato(a) seja cadastrado como consultor do IICA, basta realizar o </w:t>
      </w:r>
      <w:proofErr w:type="spellStart"/>
      <w:r w:rsidRPr="004C423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Login</w:t>
      </w:r>
      <w:proofErr w:type="spellEnd"/>
      <w:r w:rsidRPr="004C423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 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sistema do IICA e optar por enviar o currículo para esta vaga.  </w:t>
      </w: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Não serão recebidos currículos por outros meios.</w:t>
      </w: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Caberá ao consultor explicitar, no currículo enviado, o atendimento aos requisitos desejados, com o período em meses de atuação em cada requisito.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Consultor(a) será responsável pelo pagamento de todos os encargos tributários, sociais e trabalhistas, referentes ao contrato, de acordo com as leis brasileiras que regem a contratação de autônomo.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Não será proporcionado </w:t>
      </w: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Consultor(a), seguro social (INSS), por acidentes de trabalho, de saúde, de acidentes ou de vida, nem lhe serão concedidas férias, licença por enfermidade ou qualquer outro emolumento durante a vigência do Contrato.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O(</w:t>
      </w:r>
      <w:proofErr w:type="gramEnd"/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Consultor(a) deverá executar as atividades constantes neste Termo de Referência de acordo com os mais elevados padrões de competência e integridade profissional e ética.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preencher o currículo, o candidato deverá descrever minuciosamente as experiências profissionais e se atentar para a precisão no emprego das palavras, de forma a deixar claras as atividades desempenhadas e os níveis de conhecimento e experiência em relação aos critérios de avaliação previstos no Edital. É recomendável especificar, por exemplo, para cada experiência, a data completa de início e fim, o tipo de vínculo, a instituição demandante ou à qual estava vinculada, o nome ou descrição dos projetos envolvidos, as atividades desenvolvidas e quaisquer outras informações que o candidato achar relevante para a sua avaliação. Devem constar como experiências separadas diferentes funções que o candidato exercer em uma mesma instituição.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 No que se refere à formação acadêmica, o candidato deverá informar os cursos realizados, data de início e término e o nível do curso. Além disso, deverá incluir no campo de informações relevantes os temas da monografia, dissertação e tese, quando houver.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 informações prestadas devem ser relevantes para a consultoria que está sendo contratada.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Eventualmente poderão ser solicitados, por e-mail, esclarecimentos adicionais quanto à experiência profissional e acadêmica dos candidatos.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Será solicitado ao consultor selecionado comprovar, antes de sua contratação, experiência profissional e acadêmica dos requisitos nos quais foi pontuado.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caso de experiência laboral, serão aceitos atestados tais como: declaração do empregador com a descrição da atividade e sua duração e/ ou a cópia de publicação de portarias de nomeação em diários oficiais (municipais, estaduais ou da União). No caso de publicações, a comprovação será feita pela cópia da capa e sumário do volume em questão, acompanhado da cópia da ficha catalográfica em que conste o ISBN ou o ISSN pertinente. No caso de processos de formação, a comprovação será feita pela cópia do diploma ou certificado em questão. Para a comprovação de títulos de pós-graduação, na impossibilidade de apresentação da cópia dos diplomas correspondentes, será aceita, alternativamente, cópia da ata de defesa do trabalho final (monografia, dissertação ou tese, conforme o nível) acompanhada do respectivo histórico escolar.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4C423F" w:rsidRPr="004C423F" w:rsidRDefault="004C423F" w:rsidP="004C423F">
      <w:pPr>
        <w:numPr>
          <w:ilvl w:val="0"/>
          <w:numId w:val="20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FONTE DE RECURSOS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recursos para pagamento do Contrato de Prestação de Serviços regulamentado por este Termo de Referência são oriundos do MDS, alocados ao Projeto de Cooperação Técnica BRA/IICA/17/001 “SEGURANÇA ALIMENTAR E NUTRICIONAL - MDS”.</w:t>
      </w:r>
    </w:p>
    <w:p w:rsidR="004C423F" w:rsidRPr="004C423F" w:rsidRDefault="004C423F" w:rsidP="004C423F">
      <w:pPr>
        <w:numPr>
          <w:ilvl w:val="0"/>
          <w:numId w:val="2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  PROCEDIMENTO DE CONTRATAÇÃO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aprovado no processo seletivo deverá realizar os seguintes passos:</w:t>
      </w:r>
    </w:p>
    <w:p w:rsidR="004C423F" w:rsidRPr="004C423F" w:rsidRDefault="004C423F" w:rsidP="004C423F">
      <w:pPr>
        <w:numPr>
          <w:ilvl w:val="0"/>
          <w:numId w:val="2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Preencher a Ficha Cadastral do IICA que será enviada pelo Projeto;</w:t>
      </w:r>
    </w:p>
    <w:p w:rsidR="004C423F" w:rsidRPr="004C423F" w:rsidRDefault="004C423F" w:rsidP="004C423F">
      <w:pPr>
        <w:numPr>
          <w:ilvl w:val="0"/>
          <w:numId w:val="2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Apresentar os seguintes documentos à Direção Nacional do PCT BRA/IICA/17/001, em Brasília-DF:</w:t>
      </w:r>
    </w:p>
    <w:p w:rsidR="004C423F" w:rsidRPr="004C423F" w:rsidRDefault="004C423F" w:rsidP="004C423F">
      <w:pPr>
        <w:numPr>
          <w:ilvl w:val="0"/>
          <w:numId w:val="2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Original ou cópia autenticada do diploma e certificados;</w:t>
      </w:r>
    </w:p>
    <w:p w:rsidR="004C423F" w:rsidRPr="004C423F" w:rsidRDefault="004C423F" w:rsidP="004C423F">
      <w:pPr>
        <w:numPr>
          <w:ilvl w:val="0"/>
          <w:numId w:val="2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CPF, RG e ou identidade profissional;</w:t>
      </w:r>
    </w:p>
    <w:p w:rsidR="004C423F" w:rsidRPr="004C423F" w:rsidRDefault="004C423F" w:rsidP="004C423F">
      <w:pPr>
        <w:numPr>
          <w:ilvl w:val="0"/>
          <w:numId w:val="2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Documentação que comprove o seu histórico profissional.</w:t>
      </w:r>
    </w:p>
    <w:p w:rsidR="004C423F" w:rsidRPr="004C423F" w:rsidRDefault="004C423F" w:rsidP="004C42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C423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Coordenação do Projeto encaminhará ao Escritório do IICA no Brasil a solicitação para a contratação do consultor, que receberá as vias do contrato para assinatura e devolução posterior.</w:t>
      </w:r>
    </w:p>
    <w:p w:rsidR="00C62C5D" w:rsidRDefault="00C62C5D"/>
    <w:sectPr w:rsidR="00C62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5DA"/>
    <w:multiLevelType w:val="multilevel"/>
    <w:tmpl w:val="C0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E4835"/>
    <w:multiLevelType w:val="multilevel"/>
    <w:tmpl w:val="98F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6392"/>
    <w:multiLevelType w:val="multilevel"/>
    <w:tmpl w:val="65D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43A7F"/>
    <w:multiLevelType w:val="multilevel"/>
    <w:tmpl w:val="C79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31B0F"/>
    <w:multiLevelType w:val="multilevel"/>
    <w:tmpl w:val="A0B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71A99"/>
    <w:multiLevelType w:val="multilevel"/>
    <w:tmpl w:val="4AF0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65C22"/>
    <w:multiLevelType w:val="multilevel"/>
    <w:tmpl w:val="B70E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15628"/>
    <w:multiLevelType w:val="multilevel"/>
    <w:tmpl w:val="1CD6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40B3"/>
    <w:multiLevelType w:val="multilevel"/>
    <w:tmpl w:val="BB7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86617"/>
    <w:multiLevelType w:val="multilevel"/>
    <w:tmpl w:val="9C00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156DB"/>
    <w:multiLevelType w:val="multilevel"/>
    <w:tmpl w:val="B30E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F3565"/>
    <w:multiLevelType w:val="multilevel"/>
    <w:tmpl w:val="1F3A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01D92"/>
    <w:multiLevelType w:val="multilevel"/>
    <w:tmpl w:val="1C82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27B27"/>
    <w:multiLevelType w:val="multilevel"/>
    <w:tmpl w:val="BD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03076"/>
    <w:multiLevelType w:val="multilevel"/>
    <w:tmpl w:val="CEA2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D74CB"/>
    <w:multiLevelType w:val="multilevel"/>
    <w:tmpl w:val="D04E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931DE"/>
    <w:multiLevelType w:val="multilevel"/>
    <w:tmpl w:val="C00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C3293"/>
    <w:multiLevelType w:val="multilevel"/>
    <w:tmpl w:val="D6C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2341A"/>
    <w:multiLevelType w:val="multilevel"/>
    <w:tmpl w:val="1D60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E26A7C"/>
    <w:multiLevelType w:val="multilevel"/>
    <w:tmpl w:val="BD2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37A33"/>
    <w:multiLevelType w:val="multilevel"/>
    <w:tmpl w:val="A8E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617CF"/>
    <w:multiLevelType w:val="multilevel"/>
    <w:tmpl w:val="49B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52029"/>
    <w:multiLevelType w:val="multilevel"/>
    <w:tmpl w:val="D32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21"/>
  </w:num>
  <w:num w:numId="6">
    <w:abstractNumId w:val="6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20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19"/>
    <w:lvlOverride w:ilvl="0">
      <w:startOverride w:val="10"/>
    </w:lvlOverride>
  </w:num>
  <w:num w:numId="12">
    <w:abstractNumId w:val="16"/>
  </w:num>
  <w:num w:numId="13">
    <w:abstractNumId w:val="4"/>
  </w:num>
  <w:num w:numId="14">
    <w:abstractNumId w:val="3"/>
    <w:lvlOverride w:ilvl="0">
      <w:startOverride w:val="11"/>
    </w:lvlOverride>
  </w:num>
  <w:num w:numId="15">
    <w:abstractNumId w:val="15"/>
  </w:num>
  <w:num w:numId="16">
    <w:abstractNumId w:val="22"/>
    <w:lvlOverride w:ilvl="0">
      <w:startOverride w:val="2"/>
    </w:lvlOverride>
  </w:num>
  <w:num w:numId="17">
    <w:abstractNumId w:val="11"/>
    <w:lvlOverride w:ilvl="0">
      <w:startOverride w:val="12"/>
    </w:lvlOverride>
  </w:num>
  <w:num w:numId="18">
    <w:abstractNumId w:val="1"/>
    <w:lvlOverride w:ilvl="0">
      <w:startOverride w:val="13"/>
    </w:lvlOverride>
  </w:num>
  <w:num w:numId="19">
    <w:abstractNumId w:val="7"/>
    <w:lvlOverride w:ilvl="0">
      <w:startOverride w:val="15"/>
    </w:lvlOverride>
  </w:num>
  <w:num w:numId="20">
    <w:abstractNumId w:val="5"/>
    <w:lvlOverride w:ilvl="0">
      <w:startOverride w:val="16"/>
    </w:lvlOverride>
  </w:num>
  <w:num w:numId="21">
    <w:abstractNumId w:val="18"/>
    <w:lvlOverride w:ilvl="0">
      <w:startOverride w:val="17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3F"/>
    <w:rsid w:val="001623BA"/>
    <w:rsid w:val="004C423F"/>
    <w:rsid w:val="005A668C"/>
    <w:rsid w:val="006276C7"/>
    <w:rsid w:val="00885D94"/>
    <w:rsid w:val="00C62C5D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7CBC-3D98-4F13-9DEF-31CEA5C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scespacamentosimples">
    <w:name w:val="texto_centralizado_maisc_espacamentosimples"/>
    <w:basedOn w:val="Normal"/>
    <w:rsid w:val="004C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4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423F"/>
    <w:rPr>
      <w:color w:val="0000FF"/>
      <w:u w:val="single"/>
    </w:rPr>
  </w:style>
  <w:style w:type="paragraph" w:customStyle="1" w:styleId="textojustificado">
    <w:name w:val="texto_justificado"/>
    <w:basedOn w:val="Normal"/>
    <w:rsid w:val="004C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C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ca.int/pt/content/pessoa-f&#237;sica" TargetMode="External"/><Relationship Id="rId5" Type="http://schemas.openxmlformats.org/officeDocument/2006/relationships/hyperlink" Target="http://www.iicabr.iica.org.br/publicacoes/manual-p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4692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Lucelena de Lima Almeida</dc:creator>
  <cp:keywords/>
  <dc:description/>
  <cp:lastModifiedBy>Lucelena de Lima Almeida</cp:lastModifiedBy>
  <cp:revision>2</cp:revision>
  <dcterms:created xsi:type="dcterms:W3CDTF">2019-03-08T14:38:00Z</dcterms:created>
  <dcterms:modified xsi:type="dcterms:W3CDTF">2019-03-08T14:38:00Z</dcterms:modified>
</cp:coreProperties>
</file>