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E6" w:rsidRPr="007221E6" w:rsidRDefault="007221E6" w:rsidP="00722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221E6" w:rsidRPr="007221E6" w:rsidRDefault="007221E6" w:rsidP="007221E6">
      <w:pPr>
        <w:spacing w:before="280" w:after="280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</w:pPr>
      <w:r w:rsidRPr="007221E6"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  <w:t>MINISTÉRIO DA CIDADANIA</w:t>
      </w:r>
    </w:p>
    <w:p w:rsidR="007221E6" w:rsidRPr="007221E6" w:rsidRDefault="007221E6" w:rsidP="007221E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Secretaria-Executiva</w:t>
      </w:r>
    </w:p>
    <w:p w:rsidR="007221E6" w:rsidRPr="007221E6" w:rsidRDefault="007221E6" w:rsidP="007221E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Diretoria de Cooperação Técnica </w:t>
      </w:r>
    </w:p>
    <w:p w:rsidR="007221E6" w:rsidRPr="007221E6" w:rsidRDefault="007221E6" w:rsidP="007221E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221E6" w:rsidRPr="007221E6" w:rsidRDefault="007221E6" w:rsidP="007221E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CONTRATAÇÃO DE CONSULTOR INDIVIDUAL</w:t>
      </w:r>
    </w:p>
    <w:p w:rsidR="007221E6" w:rsidRPr="007221E6" w:rsidRDefault="007221E6" w:rsidP="007221E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MODALIDADE PRODUTO</w:t>
      </w:r>
    </w:p>
    <w:p w:rsidR="007221E6" w:rsidRPr="007221E6" w:rsidRDefault="007221E6" w:rsidP="007221E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221E6" w:rsidRPr="007221E6" w:rsidRDefault="007221E6" w:rsidP="007221E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FAO UTF/BRA/085/BRA</w:t>
      </w:r>
    </w:p>
    <w:p w:rsidR="007221E6" w:rsidRPr="007221E6" w:rsidRDefault="007221E6" w:rsidP="007221E6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7221E6" w:rsidRPr="007221E6" w:rsidRDefault="007221E6" w:rsidP="007221E6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8899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26"/>
        <w:gridCol w:w="4927"/>
      </w:tblGrid>
      <w:tr w:rsidR="007221E6" w:rsidRPr="007221E6" w:rsidTr="007221E6">
        <w:trPr>
          <w:trHeight w:val="1357"/>
        </w:trPr>
        <w:tc>
          <w:tcPr>
            <w:tcW w:w="20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77" w:type="dxa"/>
              <w:bottom w:w="55" w:type="dxa"/>
              <w:right w:w="55" w:type="dxa"/>
            </w:tcMar>
            <w:hideMark/>
          </w:tcPr>
          <w:p w:rsidR="007221E6" w:rsidRPr="007221E6" w:rsidRDefault="007221E6" w:rsidP="007221E6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Calibri" w:eastAsia="Times New Roman" w:hAnsi="Calibri" w:cs="Times New Roman"/>
                <w:b/>
                <w:bCs/>
                <w:lang w:eastAsia="pt-BR"/>
              </w:rPr>
              <w:t>Nº da Ação no Planejamento da Secretaria</w:t>
            </w:r>
          </w:p>
        </w:tc>
        <w:tc>
          <w:tcPr>
            <w:tcW w:w="68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77" w:type="dxa"/>
              <w:bottom w:w="55" w:type="dxa"/>
              <w:right w:w="55" w:type="dxa"/>
            </w:tcMar>
            <w:hideMark/>
          </w:tcPr>
          <w:p w:rsidR="007221E6" w:rsidRPr="007221E6" w:rsidRDefault="007221E6" w:rsidP="007221E6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08/2019</w:t>
            </w:r>
          </w:p>
        </w:tc>
      </w:tr>
      <w:tr w:rsidR="007221E6" w:rsidRPr="007221E6" w:rsidTr="007221E6">
        <w:trPr>
          <w:trHeight w:val="2684"/>
        </w:trPr>
        <w:tc>
          <w:tcPr>
            <w:tcW w:w="204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77" w:type="dxa"/>
              <w:bottom w:w="55" w:type="dxa"/>
              <w:right w:w="55" w:type="dxa"/>
            </w:tcMar>
            <w:hideMark/>
          </w:tcPr>
          <w:p w:rsidR="007221E6" w:rsidRPr="007221E6" w:rsidRDefault="007221E6" w:rsidP="007221E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Calibri" w:eastAsia="Times New Roman" w:hAnsi="Calibri" w:cs="Times New Roman"/>
                <w:b/>
                <w:bCs/>
                <w:lang w:eastAsia="pt-BR"/>
              </w:rPr>
              <w:t>Atividade do PRODOC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77" w:type="dxa"/>
              <w:bottom w:w="55" w:type="dxa"/>
              <w:right w:w="55" w:type="dxa"/>
            </w:tcMar>
            <w:hideMark/>
          </w:tcPr>
          <w:p w:rsidR="007221E6" w:rsidRPr="007221E6" w:rsidRDefault="007221E6" w:rsidP="007221E6">
            <w:pPr>
              <w:spacing w:before="280" w:after="2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  <w:p w:rsidR="007221E6" w:rsidRPr="007221E6" w:rsidRDefault="007221E6" w:rsidP="007221E6">
            <w:pPr>
              <w:spacing w:before="280" w:after="2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1.4.1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77" w:type="dxa"/>
              <w:bottom w:w="55" w:type="dxa"/>
              <w:right w:w="55" w:type="dxa"/>
            </w:tcMar>
            <w:hideMark/>
          </w:tcPr>
          <w:p w:rsidR="007221E6" w:rsidRPr="007221E6" w:rsidRDefault="007221E6" w:rsidP="007221E6">
            <w:pPr>
              <w:spacing w:before="280" w:after="2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Descrição: Estruturar e qualificar os serviços ofertados pelos equipamentos públicos  de alimentação e nutrição  (restaurantes populares e cozinhas comunitárias) e dos equipamentos públicos de abastecimento e combate ao desperdício de alimentos (banco de alimentos e unidades de apoio  à distribuição de produtos da agricultura familiar).</w:t>
            </w:r>
          </w:p>
        </w:tc>
      </w:tr>
    </w:tbl>
    <w:p w:rsidR="007221E6" w:rsidRPr="007221E6" w:rsidRDefault="007221E6" w:rsidP="007221E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7221E6" w:rsidRPr="007221E6" w:rsidRDefault="007221E6" w:rsidP="007221E6">
      <w:pPr>
        <w:shd w:val="clear" w:color="auto" w:fill="D8D8D8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color w:val="000000"/>
          <w:lang w:eastAsia="pt-BR"/>
        </w:rPr>
        <w:t>1-</w:t>
      </w:r>
      <w:r w:rsidRPr="007221E6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</w:t>
      </w:r>
      <w:r w:rsidRPr="007221E6">
        <w:rPr>
          <w:rFonts w:ascii="Calibri" w:eastAsia="Times New Roman" w:hAnsi="Calibri" w:cs="Times New Roman"/>
          <w:b/>
          <w:bCs/>
          <w:color w:val="000000"/>
          <w:lang w:eastAsia="pt-BR"/>
        </w:rPr>
        <w:t>Objetivo da contratação</w:t>
      </w:r>
    </w:p>
    <w:p w:rsidR="007221E6" w:rsidRPr="007221E6" w:rsidRDefault="007221E6" w:rsidP="007221E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Elaborar subsídios técnicos para o aprimoramento da gestão dos bancos de alimentos e da Rede Brasileira de Bancos de Alimentos.</w:t>
      </w:r>
    </w:p>
    <w:p w:rsidR="007221E6" w:rsidRPr="007221E6" w:rsidRDefault="007221E6" w:rsidP="007221E6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221E6" w:rsidRPr="007221E6" w:rsidRDefault="007221E6" w:rsidP="007221E6">
      <w:pPr>
        <w:shd w:val="clear" w:color="auto" w:fill="D8D8D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b/>
          <w:bCs/>
          <w:color w:val="000000"/>
          <w:lang w:eastAsia="pt-BR"/>
        </w:rPr>
        <w:t>2 – Contexto</w:t>
      </w:r>
    </w:p>
    <w:p w:rsidR="007221E6" w:rsidRPr="007221E6" w:rsidRDefault="007221E6" w:rsidP="007221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A Rede Brasileira de Bancos de Alimentos nasceu da parceria entre redes de bancos de alimentos geridas pelo setor público, estimulada pelo Ministério da Cidadania desde 2003, </w:t>
      </w:r>
      <w:proofErr w:type="spellStart"/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pelor</w:t>
      </w:r>
      <w:proofErr w:type="spellEnd"/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setor privado sob responsabilidade do Serviço Social do Comércio - SESC, e da sociedade civil com a Rede Sul e outras organizações comprometidas com a temática no país. Formalmente, a RBBA foi instituída pela Portaria nº 17, de 14 de abril de 2016, do Ministério da Cidadania, orientada pela missão de reduzir o desperdício de alimentos e promover o Direito Humano à Alimentação Adequada. Em sua constituição a RBBA trouxe como objetivos, em essência, o compartilhamento de experiências exitosas na gestão de bancos de alimentos e o apoio à capacitação das equipes técnicas. </w:t>
      </w:r>
    </w:p>
    <w:p w:rsidR="007221E6" w:rsidRPr="007221E6" w:rsidRDefault="007221E6" w:rsidP="007221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Apesar da expansão de iniciativas de bancos de alimentos, que segundo a RBBA perfazem 227 unidades localizadas em todas as capitais e grandes cidades do país, ainda persiste uma baixa capacidade de articulação e uniformização entre os serviços. Em várias cidades é comum a coexistência de mais 1 unidade com culturas organizacionais distintas e pouco ou nenhuma troca de informações. A falta de articulação territorial entre os equipamentos tem como resultado imediato a sobreposição de ações e a competição por doadores fidelizados que garantam uma boa regularidade na arrecadação de alimentos.</w:t>
      </w:r>
    </w:p>
    <w:p w:rsidR="007221E6" w:rsidRPr="007221E6" w:rsidRDefault="007221E6" w:rsidP="007221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Diante dessa realidade, o aspecto formativo e informativo tem sido uma das principais demandas avaliadas na Rede Brasileira de Bancos de Alimentos. No aspecto informativo, a RBBA tem se apoiado na promoção de eventos como a I Mostra de Experiências de Bancos de Alimentos em 2016 e o Encontro Nacional de Gestores de Bancos de Alimentos em 2017. Na vertente formativa, a RBBA desenvolveu alguns materiais como o Guia de Avaliação de Alimentos Doados, que traça orientações para as equipes técnicas na avaliação e seleção de alimentos arrecadados, o Guia para Elaboração de Boas Práticas para Bancos de Alimentos, o qual dispõe sobre os cuidados das equipes com a estrutura física e os procedimentos para resguardo da segurança dos alimentos. </w:t>
      </w:r>
    </w:p>
    <w:p w:rsidR="007221E6" w:rsidRPr="007221E6" w:rsidRDefault="007221E6" w:rsidP="007221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Entre as demandas ainda não contempladas, resta a elaboração de um Manual para Captação e Fidelização de Doadores de Alimentos, objeto da contratação desta consultoria visando dotar as equipes técnicas de conhecimentos que aprimorem a gestão dos serviços. Ressalta-se que o material será elaborado com base nas diversas experiências e conteúdos desenvolvidos pelos bancos de alimentos componentes da RBBA garantindo uma aproximação entre os conceitos e métodos praticados pelas equipes. A expectativa é que o material além de aproximar culturas organizativas tão diversas, que seja possível aperfeiçoar a busca de potenciais parceiros doadores e reforçar o compromisso com as empresas já fidelizadas.</w:t>
      </w:r>
    </w:p>
    <w:p w:rsidR="007221E6" w:rsidRPr="007221E6" w:rsidRDefault="007221E6" w:rsidP="007221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contratação será realizada por meio do Projeto de Cooperação Técnica Internacional com a F AO - Projeto UTF/BRA/085/BRA - Apoio ao Aprimoramento e à Consolidação da Política Nacional de Segurança Alimentar e Nutricional. O objetivo geral do Projeto com a F AO é "Contribuir para o aprimoramento e a consolidação da Política Nacional de Segurança Alimentar e Nutricional, fortalecendo o Sistema Nacional de Segurança Alimentar e Nutricional – SISAN no Brasil, com ênfase na concretização de uma política de abastecimento e nas ações voltadas à superação da extrema pobreza". No âmbito do projeto, a ação, está enquadrada no Resultado 1, voltado para fortalecer e consolidar a Política Nacional de Segurança Alimentar e Nutricional - PNSAN e o Sistema Nacional de Segurança Alimentar e Nutricional - SISAN. Mais especificamente, esta consultoria atenderá o produto 1.4 do Projeto UTF/BRA/085/BRA, que contempla circuitos locais de abastecimento e consumo consolidados e organizados por meio da expansão e estruturação da rede de equipamentos e serviços públicos de alimentação e nutrição.</w:t>
      </w:r>
    </w:p>
    <w:p w:rsidR="007221E6" w:rsidRPr="007221E6" w:rsidRDefault="007221E6" w:rsidP="007221E6">
      <w:pPr>
        <w:shd w:val="clear" w:color="auto" w:fill="D8D8D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b/>
          <w:bCs/>
          <w:color w:val="000000"/>
          <w:lang w:eastAsia="pt-BR"/>
        </w:rPr>
        <w:t>3 – Escopo do trabalho e limites da consultoria</w:t>
      </w:r>
    </w:p>
    <w:p w:rsidR="007221E6" w:rsidRPr="007221E6" w:rsidRDefault="007221E6" w:rsidP="007221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Elaborar Plano de Trabalho, em modelo estabelecido pelo organismo, contendo a estratégia de desenvolvimento de todos os produtos de consultoria, o qual deverá ser entregue juntamente com o primeiro produto a ser apresentado.</w:t>
      </w:r>
    </w:p>
    <w:p w:rsidR="007221E6" w:rsidRPr="007221E6" w:rsidRDefault="007221E6" w:rsidP="007221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 entrega dos produtos desta consultoria será necessário realizar:</w:t>
      </w:r>
    </w:p>
    <w:p w:rsidR="007221E6" w:rsidRPr="007221E6" w:rsidRDefault="007221E6" w:rsidP="007221E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Participar de reuniões com a CGEP e com o Comitê Gestor da RBBA;</w:t>
      </w:r>
    </w:p>
    <w:p w:rsidR="007221E6" w:rsidRPr="007221E6" w:rsidRDefault="007221E6" w:rsidP="007221E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Levantar bibliografias e pesquisas pertinentes à doação de alimentos e à fidelização de empresas;</w:t>
      </w:r>
    </w:p>
    <w:p w:rsidR="007221E6" w:rsidRPr="007221E6" w:rsidRDefault="007221E6" w:rsidP="007221E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Realizar viagens visando conhecer as boas práticas de parcerias com doadores de alimentos;</w:t>
      </w:r>
    </w:p>
    <w:p w:rsidR="007221E6" w:rsidRPr="007221E6" w:rsidRDefault="007221E6" w:rsidP="007221E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Analisar o material coletado pelo Comitê Gestor sobre a temática;</w:t>
      </w:r>
    </w:p>
    <w:p w:rsidR="007221E6" w:rsidRPr="007221E6" w:rsidRDefault="007221E6" w:rsidP="007221E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Elaborar diretrizes estratégicas para capacitação das equipes técnicas sobre arrecadação de alimentos sem valor comercial, sobre a fidelização de doadores e sobre a redução de perdas e desperdícios de alimentos;</w:t>
      </w:r>
    </w:p>
    <w:p w:rsidR="007221E6" w:rsidRPr="007221E6" w:rsidRDefault="007221E6" w:rsidP="007221E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Dialogar com as expectativas dos representantes das redes integrantes do Comitê Gestor;</w:t>
      </w:r>
    </w:p>
    <w:p w:rsidR="007221E6" w:rsidRPr="007221E6" w:rsidRDefault="007221E6" w:rsidP="007221E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Elaborar o conteúdo final com materiais de uso fácil e prático pelos Bancos de Alimentos;</w:t>
      </w:r>
    </w:p>
    <w:p w:rsidR="007221E6" w:rsidRPr="007221E6" w:rsidRDefault="007221E6" w:rsidP="007221E6">
      <w:pPr>
        <w:shd w:val="clear" w:color="auto" w:fill="D9D9D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 – Resultados e Produtos esperados</w:t>
      </w:r>
    </w:p>
    <w:p w:rsidR="007221E6" w:rsidRPr="007221E6" w:rsidRDefault="007221E6" w:rsidP="007221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produtos a serem apresentados pelo consultor como resultado das atividades desenvolvidas são abaixo descritos:</w:t>
      </w:r>
    </w:p>
    <w:tbl>
      <w:tblPr>
        <w:tblW w:w="0" w:type="auto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3678"/>
        <w:gridCol w:w="1631"/>
        <w:gridCol w:w="1990"/>
      </w:tblGrid>
      <w:tr w:rsidR="007221E6" w:rsidRPr="007221E6" w:rsidTr="007221E6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7221E6" w:rsidRPr="007221E6" w:rsidRDefault="007221E6" w:rsidP="007221E6">
            <w:pPr>
              <w:spacing w:after="0" w:line="299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</w:pPr>
            <w:r w:rsidRPr="007221E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PRODUTOS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7221E6" w:rsidRPr="007221E6" w:rsidRDefault="007221E6" w:rsidP="007221E6">
            <w:pPr>
              <w:spacing w:after="0" w:line="299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</w:pPr>
            <w:r w:rsidRPr="007221E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7221E6" w:rsidRPr="007221E6" w:rsidRDefault="007221E6" w:rsidP="007221E6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% sobre o total</w:t>
            </w:r>
          </w:p>
        </w:tc>
        <w:tc>
          <w:tcPr>
            <w:tcW w:w="2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7221E6" w:rsidRPr="007221E6" w:rsidRDefault="007221E6" w:rsidP="007221E6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Data para entrega</w:t>
            </w:r>
          </w:p>
        </w:tc>
      </w:tr>
      <w:tr w:rsidR="007221E6" w:rsidRPr="007221E6" w:rsidTr="007221E6">
        <w:trPr>
          <w:trHeight w:val="680"/>
        </w:trPr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7221E6" w:rsidRPr="007221E6" w:rsidRDefault="007221E6" w:rsidP="007221E6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7221E6" w:rsidRPr="007221E6" w:rsidRDefault="007221E6" w:rsidP="007221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Produto 1: </w:t>
            </w:r>
            <w:r w:rsidRPr="007221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Documento técnico contendo levantamento e análise de pesquisas e materiais </w:t>
            </w:r>
            <w:proofErr w:type="spellStart"/>
            <w:r w:rsidRPr="007221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orientativos</w:t>
            </w:r>
            <w:proofErr w:type="spellEnd"/>
            <w:r w:rsidRPr="007221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que tratem sobre a doação de alimentos.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7221E6" w:rsidRPr="007221E6" w:rsidRDefault="007221E6" w:rsidP="007221E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7221E6" w:rsidRPr="007221E6" w:rsidRDefault="007221E6" w:rsidP="007221E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 dias após a assinatura do contrato</w:t>
            </w:r>
          </w:p>
        </w:tc>
      </w:tr>
      <w:tr w:rsidR="007221E6" w:rsidRPr="007221E6" w:rsidTr="007221E6">
        <w:trPr>
          <w:trHeight w:val="749"/>
        </w:trPr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7221E6" w:rsidRPr="007221E6" w:rsidRDefault="007221E6" w:rsidP="007221E6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7221E6" w:rsidRPr="007221E6" w:rsidRDefault="007221E6" w:rsidP="007221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Produto 2: </w:t>
            </w:r>
            <w:r w:rsidRPr="007221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Documento técnico contendo levantamento e análise das parcerias de sucesso entre Bancos de alimentos e empresas doadoras de alimentos.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7221E6" w:rsidRPr="007221E6" w:rsidRDefault="007221E6" w:rsidP="007221E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7221E6" w:rsidRPr="007221E6" w:rsidRDefault="007221E6" w:rsidP="007221E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 dias após a assinatura do contrato</w:t>
            </w:r>
          </w:p>
        </w:tc>
      </w:tr>
      <w:tr w:rsidR="007221E6" w:rsidRPr="007221E6" w:rsidTr="007221E6">
        <w:trPr>
          <w:trHeight w:val="984"/>
        </w:trPr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7221E6" w:rsidRPr="007221E6" w:rsidRDefault="007221E6" w:rsidP="007221E6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7221E6" w:rsidRPr="007221E6" w:rsidRDefault="007221E6" w:rsidP="007221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Produto 3: </w:t>
            </w:r>
            <w:r w:rsidRPr="007221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Documento técnico apresentando proposta preliminar do Manual de Captação e Fidelização de Doadores de Alimentos.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7221E6" w:rsidRPr="007221E6" w:rsidRDefault="007221E6" w:rsidP="007221E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40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7221E6" w:rsidRPr="007221E6" w:rsidRDefault="007221E6" w:rsidP="007221E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150 dias após a assinatura do contrato</w:t>
            </w:r>
          </w:p>
        </w:tc>
      </w:tr>
      <w:tr w:rsidR="007221E6" w:rsidRPr="007221E6" w:rsidTr="007221E6">
        <w:trPr>
          <w:trHeight w:val="984"/>
        </w:trPr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7221E6" w:rsidRPr="007221E6" w:rsidRDefault="007221E6" w:rsidP="007221E6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7221E6" w:rsidRPr="007221E6" w:rsidRDefault="007221E6" w:rsidP="007221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Produto 4: </w:t>
            </w:r>
            <w:r w:rsidRPr="007221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Documento técnico contendo proposta final do Manual de Captação e Fidelização de Doadores de Alimentos.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7221E6" w:rsidRPr="007221E6" w:rsidRDefault="007221E6" w:rsidP="007221E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7221E6" w:rsidRPr="007221E6" w:rsidRDefault="007221E6" w:rsidP="007221E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 dias após a assinatura do contrato</w:t>
            </w:r>
          </w:p>
        </w:tc>
      </w:tr>
    </w:tbl>
    <w:p w:rsidR="007221E6" w:rsidRPr="007221E6" w:rsidRDefault="007221E6" w:rsidP="007221E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consultor deverá garantir que os serviços executados sejam realizados com qualidade, atendendo a todas as especificações e no prazo estabelecido neste termo de referência.</w:t>
      </w:r>
    </w:p>
    <w:p w:rsidR="007221E6" w:rsidRPr="007221E6" w:rsidRDefault="007221E6" w:rsidP="007221E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consultor deverá seguir as orientações do supervisor da consultoria e submeter os produtos para sua apreciação e aprovação em tempo hábil para que seja possível a realização de ajustes que venham ser necessários dentro do prazo da entrega do produto.</w:t>
      </w:r>
    </w:p>
    <w:p w:rsidR="007221E6" w:rsidRPr="007221E6" w:rsidRDefault="007221E6" w:rsidP="007221E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produto entregue pelo consultor, aprovado pelo supervisor do contrato, deve ser enviado via e-mail em formato PDF e certificado pelo consultor através da Declaração de Autoria de Produto via Sistema Eletrônico de Informações – SEI. O produto 4 deverá ser entregue, adicionalmente, em versão E-BOOK.</w:t>
      </w:r>
    </w:p>
    <w:p w:rsidR="007221E6" w:rsidRPr="007221E6" w:rsidRDefault="007221E6" w:rsidP="007221E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produtos serão pagos após a aprovação pelo supervisor do contrato, pelo Diretor Nacional de Projetos e pelo oficial de programas do Organismo.</w:t>
      </w:r>
    </w:p>
    <w:p w:rsidR="007221E6" w:rsidRPr="007221E6" w:rsidRDefault="007221E6" w:rsidP="007221E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Não serão aceitos produtos que apresentem mera reprodução de </w:t>
      </w:r>
      <w:proofErr w:type="spellStart"/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conteúdos</w:t>
      </w:r>
      <w:proofErr w:type="spellEnd"/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internet ou livros de outros autores sem os créditos devidos ou ainda sem que tais conteúdos sejam minimamente tratados/analisados pelo consultor.</w:t>
      </w:r>
    </w:p>
    <w:p w:rsidR="007221E6" w:rsidRPr="007221E6" w:rsidRDefault="007221E6" w:rsidP="007221E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serão aceitos produtos que apresentem textos já escritos pelo consultor em outros produtos ou publicações sem referência a eles. O produto elaborado requer ineditismo.</w:t>
      </w:r>
    </w:p>
    <w:p w:rsidR="007221E6" w:rsidRPr="007221E6" w:rsidRDefault="007221E6" w:rsidP="007221E6">
      <w:pPr>
        <w:shd w:val="clear" w:color="auto" w:fill="D8D8D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b/>
          <w:bCs/>
          <w:color w:val="000000"/>
          <w:lang w:eastAsia="pt-BR"/>
        </w:rPr>
        <w:t>5 – Requisitos e Critérios de Avaliação</w:t>
      </w:r>
    </w:p>
    <w:p w:rsidR="007221E6" w:rsidRPr="007221E6" w:rsidRDefault="007221E6" w:rsidP="007221E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7221E6" w:rsidRPr="007221E6" w:rsidTr="007221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7221E6" w:rsidRPr="007221E6" w:rsidRDefault="007221E6" w:rsidP="007221E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Requisitos obrigatórios</w:t>
            </w:r>
          </w:p>
        </w:tc>
      </w:tr>
      <w:tr w:rsidR="007221E6" w:rsidRPr="007221E6" w:rsidTr="007221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1E6" w:rsidRPr="007221E6" w:rsidRDefault="007221E6" w:rsidP="007221E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Formação acadêmica: </w:t>
            </w:r>
            <w:r w:rsidRPr="007221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Graduação em nutrição, engenharia de alimentos, agronomia.</w:t>
            </w:r>
          </w:p>
        </w:tc>
      </w:tr>
      <w:tr w:rsidR="007221E6" w:rsidRPr="007221E6" w:rsidTr="007221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1E6" w:rsidRPr="007221E6" w:rsidRDefault="007221E6" w:rsidP="007221E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Experiência profissional: </w:t>
            </w:r>
            <w:r w:rsidRPr="007221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 anos na área de Segurança Alimentar e Nutricional.</w:t>
            </w:r>
          </w:p>
        </w:tc>
      </w:tr>
      <w:tr w:rsidR="007221E6" w:rsidRPr="007221E6" w:rsidTr="007221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7221E6" w:rsidRPr="007221E6" w:rsidRDefault="007221E6" w:rsidP="007221E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Outros critérios de avaliação</w:t>
            </w:r>
          </w:p>
        </w:tc>
      </w:tr>
      <w:tr w:rsidR="007221E6" w:rsidRPr="007221E6" w:rsidTr="007221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1E6" w:rsidRPr="007221E6" w:rsidRDefault="007221E6" w:rsidP="007221E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Formação acadêmica: </w:t>
            </w:r>
            <w:r w:rsidRPr="007221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Especialização em Gestão</w:t>
            </w:r>
          </w:p>
        </w:tc>
      </w:tr>
      <w:tr w:rsidR="007221E6" w:rsidRPr="007221E6" w:rsidTr="007221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1E6" w:rsidRPr="007221E6" w:rsidRDefault="007221E6" w:rsidP="007221E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Qualificação/Experiência Profissional: </w:t>
            </w:r>
            <w:r w:rsidRPr="007221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experiência com Bancos de Alimentos</w:t>
            </w:r>
          </w:p>
        </w:tc>
      </w:tr>
      <w:tr w:rsidR="007221E6" w:rsidRPr="007221E6" w:rsidTr="007221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1E6" w:rsidRPr="007221E6" w:rsidRDefault="007221E6" w:rsidP="007221E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Qualificação/Experiência Profissional: </w:t>
            </w:r>
            <w:r w:rsidRPr="007221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experiência com empresas do ramo de alimentos.</w:t>
            </w:r>
          </w:p>
        </w:tc>
      </w:tr>
      <w:tr w:rsidR="007221E6" w:rsidRPr="007221E6" w:rsidTr="007221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1E6" w:rsidRPr="007221E6" w:rsidRDefault="007221E6" w:rsidP="007221E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Qualificação/Experiência Profissional: </w:t>
            </w:r>
            <w:r w:rsidRPr="007221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experiência na elaboração de materiais didáticos.</w:t>
            </w:r>
          </w:p>
        </w:tc>
      </w:tr>
    </w:tbl>
    <w:p w:rsidR="007221E6" w:rsidRPr="007221E6" w:rsidRDefault="007221E6" w:rsidP="007221E6">
      <w:pPr>
        <w:spacing w:before="28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Symbol" w:eastAsia="Times New Roman" w:hAnsi="Symbol" w:cs="Times New Roman"/>
          <w:color w:val="000000"/>
          <w:sz w:val="24"/>
          <w:szCs w:val="24"/>
          <w:lang w:eastAsia="pt-BR"/>
        </w:rPr>
        <w:t></w:t>
      </w:r>
      <w:r w:rsidRPr="007221E6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 </w:t>
      </w: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221E6" w:rsidRPr="007221E6" w:rsidRDefault="007221E6" w:rsidP="007221E6">
      <w:pPr>
        <w:shd w:val="clear" w:color="auto" w:fill="D8D8D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b/>
          <w:bCs/>
          <w:color w:val="000000"/>
          <w:lang w:eastAsia="pt-BR"/>
        </w:rPr>
        <w:t>6- Restrições para contratação de servidores públicos, professores federais e bolsistas</w:t>
      </w:r>
    </w:p>
    <w:p w:rsidR="007221E6" w:rsidRPr="007221E6" w:rsidRDefault="007221E6" w:rsidP="007221E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Segundo Decreto 5.151/2004, não pode ser contratado servidor ativo, ainda que licenciado, da administração pública federal, do Distrito Federal, dos estados e municípios, direta ou indireta, bem como de empregado de suas subsidiárias e controladas. O candidato também não deve pertencer ao quadro funcional das instituições de ensino superior qualificadas para atuar enquanto agências implementadoras. </w:t>
      </w:r>
      <w:r w:rsidRPr="0072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Durante a vigência da Lei de Diretrizes Orçamentárias – LDO 2019 é </w:t>
      </w:r>
      <w:r w:rsidRPr="0072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permitida a contratação de servidores públicos que se encontrem em licença sem remuneração para tratar de interesse particular</w:t>
      </w:r>
      <w:r w:rsidRPr="0072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7221E6" w:rsidRPr="007221E6" w:rsidRDefault="007221E6" w:rsidP="007221E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221E6" w:rsidRPr="007221E6" w:rsidRDefault="007221E6" w:rsidP="007221E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Ainda, durante a vigência da Lei de Diretrizes Orçamentárias – LDO 2019 é </w:t>
      </w: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permitida a contratação de professor de Universidades, inclusive os de dedicação </w:t>
      </w:r>
      <w:proofErr w:type="spellStart"/>
      <w:proofErr w:type="gramStart"/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exclusiva,</w:t>
      </w: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</w:t>
      </w:r>
      <w:proofErr w:type="spellEnd"/>
      <w:proofErr w:type="gramEnd"/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realização de pesquisas e estudos de excelência, desde que: haja declaração do chefe imediato e do dirigente máximo do órgão de origem de </w:t>
      </w: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inexistência de incompatibilidade de horários e de comprometimento das atividades atribuídas</w:t>
      </w: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Os projetos de pesquisas e estudos devem ser aprovados pelo dirigente máximo do órgão ou da entidade ao qual esteja vinculado o professor.</w:t>
      </w:r>
    </w:p>
    <w:p w:rsidR="007221E6" w:rsidRPr="007221E6" w:rsidRDefault="007221E6" w:rsidP="007221E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221E6" w:rsidRPr="007221E6" w:rsidRDefault="007221E6" w:rsidP="007221E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conformidade com o artigo 1º da Portaria conjunta CAPES/CNPq nº 1, de 15 de julho de 2010, o bolsista de instituição federal (CNPQ e CAPES) pode exercer função de consultoria em projetos de cooperação técnica internacional, desde que relacionada à sua área de atuação e de interesse para sua formação acadêmica, científica e tecnológica, sendo necessária a autorização do orientador, devidamente informada à coordenação do curso ou programa de pós-graduação em que estiver matriculado e registrado no Cadastro Discente da CAPES.</w:t>
      </w:r>
    </w:p>
    <w:p w:rsidR="007221E6" w:rsidRPr="007221E6" w:rsidRDefault="007221E6" w:rsidP="007221E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221E6" w:rsidRPr="007221E6" w:rsidRDefault="007221E6" w:rsidP="007221E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Conforme a </w:t>
      </w:r>
      <w:r w:rsidRPr="0072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 nº 12.813/2013</w:t>
      </w: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que dispõe sobre o conflito de interesses no exercício de cargo ou emprego do Poder Público Executivo federal e impedimentos posteriores ao </w:t>
      </w: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exercício do cargo ou emprego, configura conflito de interesses após o exercício de cargo ou emprego no âmbito do Poder Executivo federal (alínea c, inciso II do artigo 6º):</w:t>
      </w:r>
    </w:p>
    <w:p w:rsidR="007221E6" w:rsidRPr="007221E6" w:rsidRDefault="007221E6" w:rsidP="007221E6">
      <w:pPr>
        <w:spacing w:before="28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</w:t>
      </w:r>
    </w:p>
    <w:p w:rsidR="007221E6" w:rsidRPr="007221E6" w:rsidRDefault="007221E6" w:rsidP="007221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II – </w:t>
      </w:r>
      <w:proofErr w:type="gramStart"/>
      <w:r w:rsidRPr="00722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no</w:t>
      </w:r>
      <w:proofErr w:type="gramEnd"/>
      <w:r w:rsidRPr="00722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período de 6(seis) meses, contado da data da dispensa, exoneração, destituição, demissão ou aposentadoria, salvo quando expressamente autorizado, conforme o caso, pela Comissão de Ética Pública ou pela Controladoria-Geral da União:</w:t>
      </w:r>
    </w:p>
    <w:p w:rsidR="007221E6" w:rsidRPr="007221E6" w:rsidRDefault="007221E6" w:rsidP="007221E6">
      <w:pPr>
        <w:spacing w:before="28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...</w:t>
      </w:r>
    </w:p>
    <w:p w:rsidR="007221E6" w:rsidRPr="007221E6" w:rsidRDefault="007221E6" w:rsidP="007221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722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c)celebrar</w:t>
      </w:r>
      <w:proofErr w:type="gramEnd"/>
      <w:r w:rsidRPr="00722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com órgãos ou entidades do Poder Executivo federal contratos de serviço, consultoria assessoramento ou </w:t>
      </w:r>
      <w:proofErr w:type="spellStart"/>
      <w:r w:rsidRPr="00722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ou</w:t>
      </w:r>
      <w:proofErr w:type="spellEnd"/>
      <w:r w:rsidRPr="00722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 atividades similares, vinculados, ainda que indiretamente, ao órgão ou entidade em que tenha ocupado o cargo ou emprego;...</w:t>
      </w:r>
    </w:p>
    <w:p w:rsidR="007221E6" w:rsidRPr="007221E6" w:rsidRDefault="007221E6" w:rsidP="007221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 </w:t>
      </w:r>
    </w:p>
    <w:p w:rsidR="007221E6" w:rsidRPr="007221E6" w:rsidRDefault="007221E6" w:rsidP="007221E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autorização da contratação pela CGU deverá dar-se nos termos da Portaria Interministerial nº 333/2013 e da Portaria 351/2014 do MDS.</w:t>
      </w:r>
    </w:p>
    <w:p w:rsidR="007221E6" w:rsidRPr="007221E6" w:rsidRDefault="007221E6" w:rsidP="007221E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221E6" w:rsidRPr="007221E6" w:rsidRDefault="007221E6" w:rsidP="007221E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Ainda, nos termos da </w:t>
      </w:r>
      <w:r w:rsidRPr="0072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 n° 12.813/13,</w:t>
      </w: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o candidato deve informar no currículo a informação sobre parentesco com servidor ou </w:t>
      </w:r>
      <w:proofErr w:type="spellStart"/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ex-servidor</w:t>
      </w:r>
      <w:proofErr w:type="spellEnd"/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Ministério da Cidadania. Caso haja parentesco, previamente à contratação, deverá haver consulta à Comissão de Ética sobre possível risco de conflito de interesse.</w:t>
      </w:r>
    </w:p>
    <w:p w:rsidR="007221E6" w:rsidRPr="007221E6" w:rsidRDefault="007221E6" w:rsidP="007221E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221E6" w:rsidRPr="007221E6" w:rsidRDefault="007221E6" w:rsidP="007221E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vedada a contratação de candidato que tenha participado, mesmo que pontualmente, dos trabalhos de concepção, construção, autorização ou publicação do edital em questão.</w:t>
      </w:r>
    </w:p>
    <w:p w:rsidR="007221E6" w:rsidRPr="007221E6" w:rsidRDefault="007221E6" w:rsidP="007221E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221E6" w:rsidRPr="007221E6" w:rsidRDefault="007221E6" w:rsidP="007221E6">
      <w:pPr>
        <w:shd w:val="clear" w:color="auto" w:fill="D8D8D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b/>
          <w:bCs/>
          <w:color w:val="000000"/>
          <w:lang w:eastAsia="pt-BR"/>
        </w:rPr>
        <w:t>7 - Número de vagas</w:t>
      </w:r>
    </w:p>
    <w:p w:rsidR="007221E6" w:rsidRPr="007221E6" w:rsidRDefault="007221E6" w:rsidP="007221E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(uma) vaga.</w:t>
      </w:r>
    </w:p>
    <w:p w:rsidR="007221E6" w:rsidRPr="007221E6" w:rsidRDefault="007221E6" w:rsidP="007221E6">
      <w:pPr>
        <w:shd w:val="clear" w:color="auto" w:fill="D8D8D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b/>
          <w:bCs/>
          <w:color w:val="000000"/>
          <w:lang w:eastAsia="pt-BR"/>
        </w:rPr>
        <w:t>8 - Forma de pagamento</w:t>
      </w:r>
    </w:p>
    <w:p w:rsidR="007221E6" w:rsidRPr="007221E6" w:rsidRDefault="007221E6" w:rsidP="007221E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color w:val="000000"/>
          <w:lang w:eastAsia="pt-BR"/>
        </w:rPr>
        <w:t>Os serviços serão remunerados em moeda nacional corrente, de acordo com a entrega dos produtos, uma vez aprovados pelo Supervisor do Contrato.</w:t>
      </w:r>
    </w:p>
    <w:p w:rsidR="007221E6" w:rsidRPr="007221E6" w:rsidRDefault="007221E6" w:rsidP="007221E6">
      <w:pPr>
        <w:shd w:val="clear" w:color="auto" w:fill="D8D8D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b/>
          <w:bCs/>
          <w:color w:val="000000"/>
          <w:lang w:eastAsia="pt-BR"/>
        </w:rPr>
        <w:t>9 – Insumos disponíveis</w:t>
      </w:r>
    </w:p>
    <w:p w:rsidR="007221E6" w:rsidRPr="007221E6" w:rsidRDefault="007221E6" w:rsidP="007221E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color w:val="000000"/>
          <w:lang w:eastAsia="pt-BR"/>
        </w:rPr>
        <w:t>Os custos de deslocamento, alimentação e hospedagem em viagens consideradas essenciais para a execução das atividades previstas neste Termo de Referência não estão incluídos na remuneração contratada, não se constituindo responsabilidade do consultor.</w:t>
      </w:r>
    </w:p>
    <w:p w:rsidR="007221E6" w:rsidRPr="007221E6" w:rsidRDefault="007221E6" w:rsidP="007221E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color w:val="000000"/>
          <w:lang w:eastAsia="pt-BR"/>
        </w:rPr>
        <w:t>Serão fornecidos ao consultor os materiais desenvolvidos e utilizados pelos bancos de alimentos do SESC, das organizações da sociedade civil e públicos para busca, fidelização e orientação aos parceiros doadores.</w:t>
      </w:r>
    </w:p>
    <w:p w:rsidR="007221E6" w:rsidRPr="007221E6" w:rsidRDefault="007221E6" w:rsidP="007221E6">
      <w:pPr>
        <w:shd w:val="clear" w:color="auto" w:fill="D8D8D8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10 - Localidade do trabalho</w:t>
      </w:r>
    </w:p>
    <w:p w:rsidR="007221E6" w:rsidRPr="007221E6" w:rsidRDefault="007221E6" w:rsidP="007221E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Local de residência do consultor. Os custos com deslocamento nos trechos referentes ao local de origem/Brasília/origem poderão ser arcados pelo Projeto. Além disso, sendo </w:t>
      </w: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necessário o consultor poderá realizar viagens que contribuam para a elaboração dos produtos.</w:t>
      </w:r>
      <w:r w:rsidRPr="0072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7221E6" w:rsidRPr="007221E6" w:rsidRDefault="007221E6" w:rsidP="007221E6">
      <w:pPr>
        <w:shd w:val="clear" w:color="auto" w:fill="D8D8D8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11 - Data de início</w:t>
      </w:r>
    </w:p>
    <w:p w:rsidR="007221E6" w:rsidRPr="007221E6" w:rsidRDefault="007221E6" w:rsidP="007221E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color w:val="000000"/>
          <w:lang w:eastAsia="pt-BR"/>
        </w:rPr>
        <w:t>Imediata, após a assinatura do contrato.</w:t>
      </w:r>
    </w:p>
    <w:p w:rsidR="007221E6" w:rsidRPr="007221E6" w:rsidRDefault="007221E6" w:rsidP="007221E6">
      <w:pPr>
        <w:shd w:val="clear" w:color="auto" w:fill="D8D8D8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12 – Prazo de execução</w:t>
      </w:r>
    </w:p>
    <w:p w:rsidR="007221E6" w:rsidRPr="007221E6" w:rsidRDefault="007221E6" w:rsidP="007221E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 (sete) meses.</w:t>
      </w:r>
      <w:r w:rsidRPr="007221E6">
        <w:rPr>
          <w:rFonts w:ascii="Calibri" w:eastAsia="Times New Roman" w:hAnsi="Calibri" w:cs="Times New Roman"/>
          <w:color w:val="548DD4"/>
          <w:lang w:eastAsia="pt-BR"/>
        </w:rPr>
        <w:t> </w:t>
      </w:r>
    </w:p>
    <w:p w:rsidR="007221E6" w:rsidRPr="007221E6" w:rsidRDefault="007221E6" w:rsidP="007221E6">
      <w:pPr>
        <w:shd w:val="clear" w:color="auto" w:fill="D8D8D8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13 - Nome e cargo do Supervisor</w:t>
      </w:r>
    </w:p>
    <w:p w:rsidR="007221E6" w:rsidRPr="007221E6" w:rsidRDefault="007221E6" w:rsidP="007221E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lang w:eastAsia="pt-BR"/>
        </w:rPr>
        <w:t>Patrícia Chaves Gentil (Diretora DEPROA)</w:t>
      </w:r>
    </w:p>
    <w:p w:rsidR="007221E6" w:rsidRPr="007221E6" w:rsidRDefault="007221E6" w:rsidP="007221E6">
      <w:pPr>
        <w:shd w:val="clear" w:color="auto" w:fill="D8D8D8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14 – Orientações para o preenchimento do currículo</w:t>
      </w:r>
    </w:p>
    <w:p w:rsidR="007221E6" w:rsidRPr="007221E6" w:rsidRDefault="007221E6" w:rsidP="007221E6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548DD4"/>
          <w:sz w:val="24"/>
          <w:szCs w:val="24"/>
          <w:lang w:eastAsia="pt-BR"/>
        </w:rPr>
        <w:t> </w:t>
      </w: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Devem ser formuladas orientações acerca do conteúdo dos currículos, de forma que seja facilitada a avaliação dos currículos pela comissão técnica. É importante que se destaque a importância de trazer informações de relevância para a consultoria sendo contratada.</w:t>
      </w:r>
    </w:p>
    <w:p w:rsidR="007221E6" w:rsidRPr="007221E6" w:rsidRDefault="007221E6" w:rsidP="007221E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Ao preencher o currículo, o candidato deverá descrever minuciosamente as experiências profissionais e se atentar para a precisão no emprego das palavras, de forma a deixar claras as atividades desempenhadas e os níveis de conhecimento e experiência em relação aos critérios de avaliação previstos no Edital. É recomendável especificar, por exemplo, para cada experiência, a data completa de início e fim, o tipo de vínculo, a instituição demandante ou à qual estava vinculada, o nome ou descrição dos projetos envolvidos, as atividades desenvolvidas e quaisquer outras informações que o candidato achar relevante para a sua avaliação. Devem constar como experiências separadas diferentes funções que o candidato exercer em uma mesma instituição.</w:t>
      </w:r>
    </w:p>
    <w:p w:rsidR="007221E6" w:rsidRPr="007221E6" w:rsidRDefault="007221E6" w:rsidP="007221E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No que se refere à formação acadêmica, o candidato deverá informar os cursos realizados, data de início e término e o nível do curso. Além disso, deverá incluir no campo de informações relevantes os temas da monografia, dissertação e tese, quando houver.</w:t>
      </w:r>
    </w:p>
    <w:p w:rsidR="007221E6" w:rsidRPr="007221E6" w:rsidRDefault="007221E6" w:rsidP="007221E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As informações prestadas devem ser relevantes para a consultoria que está sendo contratada. </w:t>
      </w:r>
    </w:p>
    <w:p w:rsidR="007221E6" w:rsidRPr="007221E6" w:rsidRDefault="007221E6" w:rsidP="007221E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Eventualmente poderão ser solicitados, por e-mail, esclarecimentos adicionais quanto à experiência profissional e acadêmica dos candidatos.</w:t>
      </w:r>
    </w:p>
    <w:p w:rsidR="007221E6" w:rsidRPr="007221E6" w:rsidRDefault="007221E6" w:rsidP="007221E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Será solicitado ao consultor selecionado comprovar, antes de sua contratação, experiência profissional e acadêmica dos requisitos nos quais foi pontuado.</w:t>
      </w:r>
    </w:p>
    <w:p w:rsidR="007221E6" w:rsidRPr="007221E6" w:rsidRDefault="007221E6" w:rsidP="007221E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No caso de experiência laboral, serão aceitos atestados tais como: declaração do empregador com a descrição da atividade e sua duração e/ ou a cópia de publicação de portarias de nomeação em diários oficiais (municipais, estaduais ou da União). No caso de publicações, a comprovação será feita pela cópia da capa e sumário do volume em questão, acompanhado da cópia da ficha catalográfica em que conste o ISBN ou o ISSN pertinente. No caso de processos de formação, a comprovação será feita pela cópia do diploma ou certificado em questão. Para a comprovação de títulos </w:t>
      </w:r>
      <w:r w:rsidRPr="007221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>de pós-graduação, na impossibilidade de apresentação da cópia dos diplomas correspondentes, será aceita, alternativamente, cópia da ata de defesa do trabalho final (monografia, dissertação ou tese, conforme o nível) acompanhada do respectivo histórico escolar.</w:t>
      </w:r>
    </w:p>
    <w:p w:rsidR="007221E6" w:rsidRPr="007221E6" w:rsidRDefault="007221E6" w:rsidP="007221E6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548DD4"/>
          <w:sz w:val="24"/>
          <w:szCs w:val="24"/>
          <w:lang w:eastAsia="pt-BR"/>
        </w:rPr>
        <w:t> </w:t>
      </w:r>
    </w:p>
    <w:p w:rsidR="007221E6" w:rsidRPr="007221E6" w:rsidRDefault="007221E6" w:rsidP="007221E6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548DD4"/>
          <w:sz w:val="24"/>
          <w:szCs w:val="24"/>
          <w:lang w:eastAsia="pt-BR"/>
        </w:rPr>
        <w:t> </w:t>
      </w:r>
    </w:p>
    <w:p w:rsidR="007221E6" w:rsidRPr="007221E6" w:rsidRDefault="007221E6" w:rsidP="007221E6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1 - AVALIAÇÃO DOS CURRÍCULOS RECEBIDOS</w:t>
      </w:r>
    </w:p>
    <w:p w:rsidR="007221E6" w:rsidRPr="007221E6" w:rsidRDefault="007221E6" w:rsidP="007221E6">
      <w:pPr>
        <w:spacing w:before="280" w:after="28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7221E6" w:rsidRPr="007221E6" w:rsidRDefault="007221E6" w:rsidP="007221E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color w:val="000000"/>
          <w:lang w:eastAsia="pt-BR"/>
        </w:rPr>
        <w:t>Os currículos recebidos dentro do prazo previsto e no formato exigido no Edital serão avaliados em duas etapas a seguir descritas, de acordo com os critérios estabelecidos no item 5do Termo de Referência.</w:t>
      </w:r>
    </w:p>
    <w:p w:rsidR="007221E6" w:rsidRPr="007221E6" w:rsidRDefault="007221E6" w:rsidP="007221E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b/>
          <w:bCs/>
          <w:color w:val="000000"/>
          <w:lang w:eastAsia="pt-BR"/>
        </w:rPr>
        <w:t>Etapa 1: </w:t>
      </w:r>
      <w:r w:rsidRPr="007221E6">
        <w:rPr>
          <w:rFonts w:ascii="Calibri" w:eastAsia="Times New Roman" w:hAnsi="Calibri" w:cs="Times New Roman"/>
          <w:color w:val="000000"/>
          <w:lang w:eastAsia="pt-BR"/>
        </w:rPr>
        <w:t>Nesta fase, os currículos dos candidatos serão analisados para verificação do cumprimento dos requisitos obrigatórios (e, portanto, eliminatórios), de acordo com as qualificações profissionais </w:t>
      </w:r>
      <w:r w:rsidRPr="007221E6">
        <w:rPr>
          <w:rFonts w:ascii="Calibri" w:eastAsia="Times New Roman" w:hAnsi="Calibri" w:cs="Times New Roman"/>
          <w:color w:val="000000"/>
          <w:u w:val="single"/>
          <w:lang w:eastAsia="pt-BR"/>
        </w:rPr>
        <w:t>obrigatórias</w:t>
      </w:r>
      <w:r w:rsidRPr="007221E6">
        <w:rPr>
          <w:rFonts w:ascii="Calibri" w:eastAsia="Times New Roman" w:hAnsi="Calibri" w:cs="Times New Roman"/>
          <w:color w:val="000000"/>
          <w:lang w:eastAsia="pt-BR"/>
        </w:rPr>
        <w:t> de formação acadêmica e experiência profissional informadas no item 5 deste Termo de Referência.</w:t>
      </w:r>
    </w:p>
    <w:p w:rsidR="007221E6" w:rsidRPr="007221E6" w:rsidRDefault="007221E6" w:rsidP="007221E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seguir para a próxima etapa, é necessário que pelo menos 3 candidatos possuam os requisitos obrigatórios.</w:t>
      </w:r>
    </w:p>
    <w:p w:rsidR="007221E6" w:rsidRPr="007221E6" w:rsidRDefault="007221E6" w:rsidP="007221E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b/>
          <w:bCs/>
          <w:color w:val="000000"/>
          <w:lang w:eastAsia="pt-BR"/>
        </w:rPr>
        <w:t>Etapa </w:t>
      </w:r>
      <w:proofErr w:type="gramStart"/>
      <w:r w:rsidRPr="007221E6">
        <w:rPr>
          <w:rFonts w:ascii="Calibri" w:eastAsia="Times New Roman" w:hAnsi="Calibri" w:cs="Times New Roman"/>
          <w:b/>
          <w:bCs/>
          <w:color w:val="000000"/>
          <w:lang w:eastAsia="pt-BR"/>
        </w:rPr>
        <w:t>2:</w:t>
      </w:r>
      <w:r w:rsidRPr="007221E6">
        <w:rPr>
          <w:rFonts w:ascii="Calibri" w:eastAsia="Times New Roman" w:hAnsi="Calibri" w:cs="Times New Roman"/>
          <w:color w:val="000000"/>
          <w:lang w:eastAsia="pt-BR"/>
        </w:rPr>
        <w:t>Nesta</w:t>
      </w:r>
      <w:proofErr w:type="gramEnd"/>
      <w:r w:rsidRPr="007221E6">
        <w:rPr>
          <w:rFonts w:ascii="Calibri" w:eastAsia="Times New Roman" w:hAnsi="Calibri" w:cs="Times New Roman"/>
          <w:color w:val="000000"/>
          <w:lang w:eastAsia="pt-BR"/>
        </w:rPr>
        <w:t xml:space="preserve"> fase, serão pontuados, exclusivamente, os currículos válidos, ou seja, aqueles que obtiverem resposta “SIM” em todos os requisitos obrigatórios. A pontuação será o resultado da análise dos critérios de formação acadêmica e experiência profissional informadas no item 5 deste Termo de Referência.</w:t>
      </w:r>
    </w:p>
    <w:p w:rsidR="007221E6" w:rsidRPr="007221E6" w:rsidRDefault="007221E6" w:rsidP="007221E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221E6" w:rsidRPr="007221E6" w:rsidRDefault="007221E6" w:rsidP="007221E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b/>
          <w:bCs/>
          <w:color w:val="000000"/>
          <w:lang w:eastAsia="pt-BR"/>
        </w:rPr>
        <w:t>Reunião de Negociação da Contratação</w:t>
      </w:r>
    </w:p>
    <w:p w:rsidR="007221E6" w:rsidRPr="007221E6" w:rsidRDefault="007221E6" w:rsidP="007221E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color w:val="000000"/>
          <w:lang w:eastAsia="pt-BR"/>
        </w:rPr>
        <w:t xml:space="preserve">O candidato que obtiver a maior nota, na soma dos pontos obtidos na análise curricular, será convocado para uma Reunião de Negociação para Contratação, na qual serão discutidos o Termo de Referência, plano de trabalho, a metodologia, insumos (viagens, material, </w:t>
      </w:r>
      <w:proofErr w:type="spellStart"/>
      <w:r w:rsidRPr="007221E6">
        <w:rPr>
          <w:rFonts w:ascii="Calibri" w:eastAsia="Times New Roman" w:hAnsi="Calibri" w:cs="Times New Roman"/>
          <w:color w:val="000000"/>
          <w:lang w:eastAsia="pt-BR"/>
        </w:rPr>
        <w:t>etc</w:t>
      </w:r>
      <w:proofErr w:type="spellEnd"/>
      <w:r w:rsidRPr="007221E6">
        <w:rPr>
          <w:rFonts w:ascii="Calibri" w:eastAsia="Times New Roman" w:hAnsi="Calibri" w:cs="Times New Roman"/>
          <w:color w:val="000000"/>
          <w:lang w:eastAsia="pt-BR"/>
        </w:rPr>
        <w:t>), método de coleta de dados e condições do contrato, etc. Na reunião o valor da consultoria é informado ao candidato para que seja aceito ou recusado. Caso o candidato não aceite o valor proposto, ele deverá assinar o termo de recusa e a ata da negociação, que será considerada fracassada. A reunião em áudio ou videoconferência caso o consultor não resida em Brasília. </w:t>
      </w:r>
    </w:p>
    <w:p w:rsidR="007221E6" w:rsidRPr="007221E6" w:rsidRDefault="007221E6" w:rsidP="007221E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color w:val="000000"/>
          <w:lang w:eastAsia="pt-BR"/>
        </w:rPr>
        <w:t>Previamente à convocação da Reunião, será solicitado ao candidato selecionado a apresentação de cópias autenticadas dos documentos comprobatórios, a serem listados pela Comissão Técnica de Seleção, no o prazo de até 5 dias úteis. Após o fim do prazo, o candidato será e não houver a apresentação dos documentos solicitados, o candidato será desclassificado e o próximo candidato classificado na seleção será convocado para apresentação dos documentos.</w:t>
      </w:r>
    </w:p>
    <w:p w:rsidR="007221E6" w:rsidRPr="007221E6" w:rsidRDefault="007221E6" w:rsidP="007221E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7221E6" w:rsidRPr="007221E6" w:rsidRDefault="007221E6" w:rsidP="007221E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color w:val="000000"/>
          <w:lang w:eastAsia="pt-BR"/>
        </w:rPr>
        <w:lastRenderedPageBreak/>
        <w:t>A Reunião ocorrerá na presença do candidato, dos 3 membros da Comissão Técnica de Seleção e de um membro da equipe da Diretoria de </w:t>
      </w:r>
      <w:r w:rsidR="00674C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Cooperação Técnica</w:t>
      </w:r>
      <w:bookmarkStart w:id="0" w:name="_GoBack"/>
      <w:bookmarkEnd w:id="0"/>
      <w:r w:rsidRPr="007221E6">
        <w:rPr>
          <w:rFonts w:ascii="Calibri" w:eastAsia="Times New Roman" w:hAnsi="Calibri" w:cs="Times New Roman"/>
          <w:color w:val="000000"/>
          <w:lang w:eastAsia="pt-BR"/>
        </w:rPr>
        <w:t>.</w:t>
      </w:r>
    </w:p>
    <w:p w:rsidR="007221E6" w:rsidRPr="007221E6" w:rsidRDefault="007221E6" w:rsidP="007221E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221E6" w:rsidRPr="007221E6" w:rsidRDefault="007221E6" w:rsidP="007221E6">
      <w:pPr>
        <w:spacing w:before="280" w:after="28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21E6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262983" w:rsidRPr="00397555" w:rsidRDefault="00262983" w:rsidP="00262983">
      <w:pPr>
        <w:pStyle w:val="SemEspaamento"/>
        <w:jc w:val="both"/>
        <w:rPr>
          <w:sz w:val="16"/>
          <w:szCs w:val="16"/>
        </w:rPr>
      </w:pPr>
    </w:p>
    <w:p w:rsidR="00262983" w:rsidRPr="000A7AB7" w:rsidRDefault="00262983" w:rsidP="00262983">
      <w:pPr>
        <w:pStyle w:val="SemEspaamento"/>
        <w:jc w:val="both"/>
        <w:rPr>
          <w:sz w:val="16"/>
          <w:szCs w:val="16"/>
        </w:rPr>
      </w:pPr>
    </w:p>
    <w:p w:rsidR="00262983" w:rsidRPr="000A7AB7" w:rsidRDefault="00262983" w:rsidP="00262983">
      <w:pPr>
        <w:pStyle w:val="SemEspaamento"/>
        <w:jc w:val="both"/>
        <w:rPr>
          <w:sz w:val="16"/>
          <w:szCs w:val="16"/>
        </w:rPr>
      </w:pPr>
      <w:r w:rsidRPr="000A7AB7">
        <w:rPr>
          <w:sz w:val="16"/>
          <w:szCs w:val="16"/>
        </w:rPr>
        <w:t>PROJETO DE ORGANISMO INTERNACIONAL FAO UTF/BRA/085/BRA</w:t>
      </w:r>
    </w:p>
    <w:p w:rsidR="00262983" w:rsidRPr="000A7AB7" w:rsidRDefault="00262983" w:rsidP="00262983">
      <w:pPr>
        <w:pStyle w:val="SemEspaamento"/>
        <w:jc w:val="both"/>
        <w:rPr>
          <w:sz w:val="16"/>
          <w:szCs w:val="16"/>
        </w:rPr>
      </w:pPr>
      <w:r w:rsidRPr="000A7AB7">
        <w:rPr>
          <w:sz w:val="16"/>
          <w:szCs w:val="16"/>
        </w:rPr>
        <w:t>CONTRATA NA MO</w:t>
      </w:r>
      <w:r>
        <w:rPr>
          <w:sz w:val="16"/>
          <w:szCs w:val="16"/>
        </w:rPr>
        <w:t xml:space="preserve">DALIDADE PRODUTO – EDITAL </w:t>
      </w:r>
      <w:proofErr w:type="gramStart"/>
      <w:r>
        <w:rPr>
          <w:sz w:val="16"/>
          <w:szCs w:val="16"/>
        </w:rPr>
        <w:t>N.º</w:t>
      </w:r>
      <w:proofErr w:type="gramEnd"/>
      <w:r>
        <w:rPr>
          <w:sz w:val="16"/>
          <w:szCs w:val="16"/>
        </w:rPr>
        <w:t xml:space="preserve">  18</w:t>
      </w:r>
      <w:r w:rsidRPr="000A7AB7">
        <w:rPr>
          <w:sz w:val="16"/>
          <w:szCs w:val="16"/>
        </w:rPr>
        <w:t>/2019</w:t>
      </w:r>
    </w:p>
    <w:p w:rsidR="00262983" w:rsidRPr="000A7AB7" w:rsidRDefault="00262983" w:rsidP="00262983">
      <w:pPr>
        <w:pStyle w:val="SemEspaamento"/>
        <w:jc w:val="both"/>
        <w:rPr>
          <w:sz w:val="16"/>
          <w:szCs w:val="16"/>
        </w:rPr>
      </w:pPr>
      <w:r w:rsidRPr="000A7AB7">
        <w:rPr>
          <w:sz w:val="16"/>
          <w:szCs w:val="16"/>
        </w:rPr>
        <w:t>CARGO: “</w:t>
      </w:r>
      <w:r w:rsidRPr="0013764C">
        <w:rPr>
          <w:sz w:val="16"/>
          <w:szCs w:val="16"/>
        </w:rPr>
        <w:t>Elaborar subsídios técnicos para o aprimoramento da gestão dos bancos de alimentos e da Rede Brasileira de Bancos de Alimentos</w:t>
      </w:r>
      <w:r w:rsidRPr="000A7AB7">
        <w:rPr>
          <w:color w:val="000000"/>
          <w:sz w:val="16"/>
          <w:szCs w:val="16"/>
        </w:rPr>
        <w:t>. </w:t>
      </w:r>
      <w:r w:rsidRPr="000A7AB7">
        <w:rPr>
          <w:bCs/>
          <w:sz w:val="16"/>
          <w:szCs w:val="16"/>
        </w:rPr>
        <w:t>”.</w:t>
      </w:r>
      <w:r w:rsidRPr="000A7AB7">
        <w:rPr>
          <w:b/>
          <w:bCs/>
          <w:sz w:val="16"/>
          <w:szCs w:val="16"/>
        </w:rPr>
        <w:t xml:space="preserve"> </w:t>
      </w:r>
      <w:r w:rsidRPr="000A7AB7">
        <w:rPr>
          <w:sz w:val="16"/>
          <w:szCs w:val="16"/>
        </w:rPr>
        <w:t>1 (uma) VAGA.</w:t>
      </w:r>
    </w:p>
    <w:p w:rsidR="00262983" w:rsidRPr="000A7AB7" w:rsidRDefault="00262983" w:rsidP="00262983">
      <w:pPr>
        <w:pStyle w:val="SemEspaamento"/>
        <w:jc w:val="both"/>
        <w:rPr>
          <w:sz w:val="16"/>
          <w:szCs w:val="16"/>
        </w:rPr>
      </w:pPr>
      <w:r w:rsidRPr="000A7AB7">
        <w:rPr>
          <w:sz w:val="16"/>
          <w:szCs w:val="16"/>
        </w:rPr>
        <w:t xml:space="preserve">PERFIL PROFISSIONAL: </w:t>
      </w:r>
      <w:r>
        <w:rPr>
          <w:sz w:val="16"/>
          <w:szCs w:val="16"/>
        </w:rPr>
        <w:t xml:space="preserve"> Graduação em </w:t>
      </w:r>
      <w:r w:rsidRPr="0013764C">
        <w:rPr>
          <w:color w:val="000000"/>
          <w:sz w:val="16"/>
          <w:szCs w:val="16"/>
        </w:rPr>
        <w:t>nutrição, engenharia de alimentos, agronomia</w:t>
      </w:r>
      <w:r>
        <w:rPr>
          <w:color w:val="000000"/>
          <w:sz w:val="16"/>
          <w:szCs w:val="16"/>
        </w:rPr>
        <w:t xml:space="preserve"> </w:t>
      </w:r>
      <w:proofErr w:type="gramStart"/>
      <w:r>
        <w:rPr>
          <w:color w:val="000000"/>
          <w:sz w:val="16"/>
          <w:szCs w:val="16"/>
        </w:rPr>
        <w:t xml:space="preserve">e </w:t>
      </w:r>
      <w:r w:rsidRPr="000A7AB7">
        <w:rPr>
          <w:rStyle w:val="nfase"/>
          <w:sz w:val="16"/>
          <w:szCs w:val="16"/>
          <w:shd w:val="clear" w:color="auto" w:fill="FFFFFF"/>
        </w:rPr>
        <w:t xml:space="preserve"> </w:t>
      </w:r>
      <w:r w:rsidRPr="000A7AB7">
        <w:rPr>
          <w:sz w:val="16"/>
          <w:szCs w:val="16"/>
        </w:rPr>
        <w:t>Experiência</w:t>
      </w:r>
      <w:proofErr w:type="gramEnd"/>
      <w:r w:rsidRPr="000A7AB7">
        <w:rPr>
          <w:rStyle w:val="nfase"/>
          <w:sz w:val="16"/>
          <w:szCs w:val="16"/>
          <w:shd w:val="clear" w:color="auto" w:fill="FFFFFF"/>
        </w:rPr>
        <w:t xml:space="preserve"> profissional de </w:t>
      </w:r>
      <w:r w:rsidRPr="000A7AB7">
        <w:rPr>
          <w:color w:val="000000"/>
          <w:sz w:val="16"/>
          <w:szCs w:val="16"/>
        </w:rPr>
        <w:t xml:space="preserve">5 </w:t>
      </w:r>
      <w:r w:rsidRPr="0013764C">
        <w:rPr>
          <w:color w:val="000000"/>
          <w:sz w:val="16"/>
          <w:szCs w:val="16"/>
        </w:rPr>
        <w:t>anos na área de Segurança Alimentar e Nutricional.</w:t>
      </w:r>
      <w:r w:rsidRPr="0013764C">
        <w:rPr>
          <w:i/>
          <w:sz w:val="16"/>
          <w:szCs w:val="16"/>
        </w:rPr>
        <w:t>.</w:t>
      </w:r>
      <w:r w:rsidRPr="0013764C">
        <w:rPr>
          <w:sz w:val="16"/>
          <w:szCs w:val="16"/>
        </w:rPr>
        <w:t xml:space="preserve"> O Termo de referência está disponível no sítio: </w:t>
      </w:r>
      <w:r w:rsidRPr="000A7AB7">
        <w:rPr>
          <w:sz w:val="16"/>
          <w:szCs w:val="16"/>
        </w:rPr>
        <w:t xml:space="preserve">http://mds.gov.br/acesso-a-informacao/institucional/internacional/editais-pessoa-fisica. Os interessados deverão inserir seu currículo no site </w:t>
      </w:r>
      <w:r w:rsidRPr="000A7AB7">
        <w:rPr>
          <w:rFonts w:eastAsiaTheme="minorHAnsi"/>
          <w:sz w:val="16"/>
          <w:szCs w:val="16"/>
          <w:lang w:eastAsia="en-US"/>
        </w:rPr>
        <w:t xml:space="preserve">: </w:t>
      </w:r>
      <w:hyperlink r:id="rId5" w:history="1">
        <w:r w:rsidRPr="000A7AB7">
          <w:rPr>
            <w:rStyle w:val="Hyperlink"/>
            <w:sz w:val="16"/>
            <w:szCs w:val="16"/>
            <w:shd w:val="clear" w:color="auto" w:fill="FFFFFF"/>
            <w:lang w:val="es-CL"/>
          </w:rPr>
          <w:t>https://jobs.fao.org/careersection/fao_external/jobdetail.ftl?job=1900207&amp;tz=GMT-03%3A00</w:t>
        </w:r>
      </w:hyperlink>
      <w:r>
        <w:rPr>
          <w:sz w:val="16"/>
          <w:szCs w:val="16"/>
        </w:rPr>
        <w:t xml:space="preserve"> de 09/06/2019 até o dia 19</w:t>
      </w:r>
      <w:r w:rsidRPr="000A7AB7">
        <w:rPr>
          <w:sz w:val="16"/>
          <w:szCs w:val="16"/>
        </w:rPr>
        <w:t>/</w:t>
      </w:r>
      <w:r>
        <w:rPr>
          <w:sz w:val="16"/>
          <w:szCs w:val="16"/>
        </w:rPr>
        <w:t>06</w:t>
      </w:r>
      <w:r w:rsidRPr="000A7AB7">
        <w:rPr>
          <w:sz w:val="16"/>
          <w:szCs w:val="16"/>
        </w:rPr>
        <w:t>/2019 às 18h59min.</w:t>
      </w:r>
      <w:r>
        <w:rPr>
          <w:sz w:val="16"/>
          <w:szCs w:val="16"/>
        </w:rPr>
        <w:t xml:space="preserve"> </w:t>
      </w:r>
      <w:r w:rsidRPr="000A7AB7">
        <w:rPr>
          <w:sz w:val="16"/>
          <w:szCs w:val="16"/>
        </w:rPr>
        <w:t>Em cumprimento ao disposto no Decreto n.º5.151 de 22 de julho de 2004, as contratações serão efetuadas mediante processo seletivo simplificado (análise de currículo), sendo exigida dos profissionais a comprovação da habilitação profissional e da capacidade técnica ou científica compatível com os trabalhos a serem executados. “É vedada a contratação, a qualquer título, de servidores ativos da Administração Pública Federal, Estadual, Municipal ou do Distrito Federal, direta ou indireta, bem como de empregados de suas subsidiárias e controladas, no âmbito dos acordos de cooperação técnica internacional”.</w:t>
      </w:r>
      <w:r>
        <w:rPr>
          <w:sz w:val="16"/>
          <w:szCs w:val="16"/>
        </w:rPr>
        <w:t xml:space="preserve"> </w:t>
      </w:r>
      <w:r w:rsidRPr="000A7AB7">
        <w:rPr>
          <w:sz w:val="16"/>
          <w:szCs w:val="16"/>
        </w:rPr>
        <w:t>Edward Lúcio Vieira Borba – Diretor de Cooperação Técnica.</w:t>
      </w:r>
    </w:p>
    <w:p w:rsidR="00262983" w:rsidRPr="00397555" w:rsidRDefault="00262983" w:rsidP="00262983">
      <w:pPr>
        <w:pStyle w:val="SemEspaamento"/>
        <w:jc w:val="both"/>
        <w:rPr>
          <w:rFonts w:eastAsiaTheme="minorHAnsi"/>
          <w:sz w:val="16"/>
          <w:szCs w:val="16"/>
          <w:lang w:eastAsia="en-US"/>
        </w:rPr>
      </w:pPr>
    </w:p>
    <w:p w:rsidR="002D1D4E" w:rsidRDefault="002D1D4E"/>
    <w:sectPr w:rsidR="002D1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77B12"/>
    <w:multiLevelType w:val="multilevel"/>
    <w:tmpl w:val="6C8C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E6"/>
    <w:rsid w:val="00262983"/>
    <w:rsid w:val="002D1D4E"/>
    <w:rsid w:val="005832D9"/>
    <w:rsid w:val="00674C2E"/>
    <w:rsid w:val="0072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A9DA"/>
  <w15:chartTrackingRefBased/>
  <w15:docId w15:val="{BE3CA28F-953D-4F6B-852F-C0523DAC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22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221E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textocentralizadomaiusculasnegrito">
    <w:name w:val="texto_centralizado_maiusculas_negrito"/>
    <w:basedOn w:val="Normal"/>
    <w:rsid w:val="0072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2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221E6"/>
    <w:rPr>
      <w:b/>
      <w:bCs/>
    </w:rPr>
  </w:style>
  <w:style w:type="character" w:customStyle="1" w:styleId="grame">
    <w:name w:val="grame"/>
    <w:basedOn w:val="Fontepargpadro"/>
    <w:rsid w:val="007221E6"/>
  </w:style>
  <w:style w:type="paragraph" w:customStyle="1" w:styleId="textojustificado">
    <w:name w:val="texto_justificado"/>
    <w:basedOn w:val="Normal"/>
    <w:rsid w:val="0072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62983"/>
    <w:rPr>
      <w:color w:val="0066FF"/>
      <w:u w:val="single"/>
    </w:rPr>
  </w:style>
  <w:style w:type="paragraph" w:styleId="SemEspaamento">
    <w:name w:val="No Spacing"/>
    <w:uiPriority w:val="1"/>
    <w:qFormat/>
    <w:rsid w:val="002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629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2117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bs.fao.org/careersection/fao_external/jobdetail.ftl?job=1900207&amp;tz=GMT-03%3A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2993</Words>
  <Characters>16164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Lucelena de Lima Almeida</dc:creator>
  <cp:keywords/>
  <dc:description/>
  <cp:lastModifiedBy>Lucelena de Lima Almeida</cp:lastModifiedBy>
  <cp:revision>3</cp:revision>
  <dcterms:created xsi:type="dcterms:W3CDTF">2019-06-07T20:31:00Z</dcterms:created>
  <dcterms:modified xsi:type="dcterms:W3CDTF">2019-06-07T20:32:00Z</dcterms:modified>
</cp:coreProperties>
</file>